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97E4A" w14:textId="1846E34F" w:rsidR="005A6A9B" w:rsidRDefault="00741033">
      <w:pPr>
        <w:pStyle w:val="Ttulo1"/>
      </w:pPr>
      <w:r>
        <w:t>Trabajo SAS</w:t>
      </w:r>
    </w:p>
    <w:p w14:paraId="541F678E" w14:textId="77777777" w:rsidR="00965E3F" w:rsidRDefault="00B052CE" w:rsidP="00CD7008">
      <w:pPr>
        <w:spacing w:line="480" w:lineRule="auto"/>
        <w:jc w:val="both"/>
        <w:rPr>
          <w:rFonts w:ascii="Cambria" w:eastAsia="Cambria" w:hAnsi="Cambria" w:cs="Cambria"/>
          <w:b/>
          <w:color w:val="C00000"/>
          <w:sz w:val="24"/>
          <w:szCs w:val="24"/>
          <w:u w:val="single"/>
        </w:rPr>
      </w:pPr>
      <w:r w:rsidRPr="000A1E95">
        <w:t xml:space="preserve"> </w:t>
      </w:r>
      <w:r w:rsidR="00965E3F">
        <w:rPr>
          <w:rFonts w:ascii="Cambria" w:eastAsia="Cambria" w:hAnsi="Cambria" w:cs="Cambria"/>
          <w:b/>
          <w:color w:val="C00000"/>
          <w:sz w:val="24"/>
          <w:szCs w:val="24"/>
          <w:u w:val="single"/>
        </w:rPr>
        <w:t>ACTIVIDADES:</w:t>
      </w:r>
    </w:p>
    <w:p w14:paraId="53D49ACF"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LA SAS se constituye a través de un "instrumento constitutivo" , en que tiempo se  asegura su inscripción registral?</w:t>
      </w:r>
    </w:p>
    <w:p w14:paraId="1E43EA71"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 xml:space="preserve"> En relación a las inscripciones societarias y los medios registrales empleados, son con el fin de incorporar datos y archivo electrónico de: a) inscripciones electrónicas; b) certificaciones electrónicas de los actos inscriptos y que más?</w:t>
      </w:r>
    </w:p>
    <w:p w14:paraId="2E85B277"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Nombre algunas  de las ventajas del método electrónico de inscripción registral de empresas y acceso al registro.</w:t>
      </w:r>
    </w:p>
    <w:p w14:paraId="5A1C48A9"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La modificación del elenco de socios durante el funcionamiento de la sociedad  comportaría  cambio de la denominación social ?.</w:t>
      </w:r>
    </w:p>
    <w:p w14:paraId="0A1C5589"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 xml:space="preserve">La SAS podrá ser constituida a través de dos formas y medios cuáles son? </w:t>
      </w:r>
    </w:p>
    <w:p w14:paraId="7C0A2FF3"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El capital establecido en el instrumento constitutivo  podrá ser inferior al importe equivalente a dos veces el salario mínimo vital y móvil?</w:t>
      </w:r>
    </w:p>
    <w:p w14:paraId="2DDE6C8C"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En relación al plazo de duración de los gerentes el plazo de duración en sus cargos,  podrá ser determinado o indeterminado?</w:t>
      </w:r>
    </w:p>
    <w:p w14:paraId="48F706A8"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 xml:space="preserve">Es verdad que al órgano de administración le puedo dar el nombre de administrador, gerente o director? </w:t>
      </w:r>
    </w:p>
    <w:p w14:paraId="47C74607"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 xml:space="preserve">Son posibles las reuniones </w:t>
      </w:r>
      <w:proofErr w:type="spellStart"/>
      <w:r w:rsidRPr="00444E24">
        <w:rPr>
          <w:rFonts w:ascii="Cambria" w:eastAsia="Cambria" w:hAnsi="Cambria" w:cs="Cambria"/>
          <w:color w:val="F32755" w:themeColor="text2" w:themeTint="80"/>
          <w:sz w:val="24"/>
          <w:szCs w:val="24"/>
        </w:rPr>
        <w:t>autoconvocadas</w:t>
      </w:r>
      <w:proofErr w:type="spellEnd"/>
      <w:r w:rsidRPr="00444E24">
        <w:rPr>
          <w:rFonts w:ascii="Cambria" w:eastAsia="Cambria" w:hAnsi="Cambria" w:cs="Cambria"/>
          <w:color w:val="F32755" w:themeColor="text2" w:themeTint="80"/>
          <w:sz w:val="24"/>
          <w:szCs w:val="24"/>
        </w:rPr>
        <w:t>, sin citación previa?</w:t>
      </w:r>
    </w:p>
    <w:p w14:paraId="42D66311"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 xml:space="preserve">Los estados contables de la SAS deben presentarse ante el Registro Público y la AFIP? </w:t>
      </w:r>
    </w:p>
    <w:p w14:paraId="35A36BED" w14:textId="77777777" w:rsidR="00965E3F" w:rsidRPr="00444E24" w:rsidRDefault="00965E3F" w:rsidP="00965E3F">
      <w:pPr>
        <w:numPr>
          <w:ilvl w:val="0"/>
          <w:numId w:val="5"/>
        </w:numPr>
        <w:pBdr>
          <w:top w:val="nil"/>
          <w:left w:val="nil"/>
          <w:bottom w:val="nil"/>
          <w:right w:val="nil"/>
          <w:between w:val="nil"/>
        </w:pBdr>
        <w:spacing w:after="0" w:line="480" w:lineRule="auto"/>
        <w:jc w:val="both"/>
        <w:rPr>
          <w:rFonts w:ascii="Cambria" w:eastAsia="Cambria" w:hAnsi="Cambria" w:cs="Cambria"/>
          <w:color w:val="F32755" w:themeColor="text2" w:themeTint="80"/>
          <w:sz w:val="24"/>
          <w:szCs w:val="24"/>
        </w:rPr>
      </w:pPr>
      <w:r w:rsidRPr="00444E24">
        <w:rPr>
          <w:rFonts w:ascii="Cambria" w:eastAsia="Cambria" w:hAnsi="Cambria" w:cs="Cambria"/>
          <w:color w:val="F32755" w:themeColor="text2" w:themeTint="80"/>
          <w:sz w:val="24"/>
          <w:szCs w:val="24"/>
        </w:rPr>
        <w:t>Respecto a los registros contables de la SAS que libros deberá llevar?</w:t>
      </w:r>
    </w:p>
    <w:p w14:paraId="30F9A969" w14:textId="1CD6A4F5" w:rsidR="005A6A9B" w:rsidRDefault="00965E3F" w:rsidP="00741033">
      <w:pPr>
        <w:pStyle w:val="Listaconvietas"/>
        <w:numPr>
          <w:ilvl w:val="0"/>
          <w:numId w:val="0"/>
        </w:numPr>
        <w:ind w:left="432"/>
        <w:rPr>
          <w:b/>
          <w:bCs/>
        </w:rPr>
      </w:pPr>
      <w:r>
        <w:rPr>
          <w:b/>
          <w:bCs/>
        </w:rPr>
        <w:t>Respuestas:</w:t>
      </w:r>
    </w:p>
    <w:p w14:paraId="71830ED0" w14:textId="36E99835" w:rsidR="00965E3F" w:rsidRDefault="00965E3F" w:rsidP="003376DA">
      <w:pPr>
        <w:pStyle w:val="Listaconvietas"/>
        <w:numPr>
          <w:ilvl w:val="0"/>
          <w:numId w:val="0"/>
        </w:numPr>
        <w:ind w:left="432" w:hanging="432"/>
        <w:rPr>
          <w:b/>
          <w:bCs/>
        </w:rPr>
      </w:pPr>
      <w:r>
        <w:rPr>
          <w:b/>
          <w:bCs/>
        </w:rPr>
        <w:t>1)</w:t>
      </w:r>
    </w:p>
    <w:p w14:paraId="071019F5" w14:textId="77777777" w:rsidR="007D7ABF" w:rsidRDefault="007D7ABF" w:rsidP="00CD7008">
      <w:pPr>
        <w:pBdr>
          <w:top w:val="nil"/>
          <w:left w:val="nil"/>
          <w:bottom w:val="nil"/>
          <w:right w:val="nil"/>
          <w:between w:val="nil"/>
        </w:pBdr>
        <w:spacing w:line="480" w:lineRule="auto"/>
        <w:jc w:val="both"/>
        <w:rPr>
          <w:rFonts w:ascii="Cambria" w:eastAsia="Cambria" w:hAnsi="Cambria" w:cs="Cambria"/>
          <w:color w:val="000000"/>
          <w:sz w:val="24"/>
          <w:szCs w:val="24"/>
        </w:rPr>
      </w:pPr>
      <w:r w:rsidRPr="007D7ABF">
        <w:rPr>
          <w:rFonts w:ascii="Cambria" w:eastAsia="Cambria" w:hAnsi="Cambria" w:cs="Cambria"/>
          <w:color w:val="000000"/>
          <w:sz w:val="24"/>
          <w:szCs w:val="24"/>
        </w:rPr>
        <w:t>el art. 38 de la ley 27.349 asegura su inscripción registral dentro del plazo de veinticuatro horas contado desde el día hábil siguiente al de la presentación, es decir que la publicidad en el Boletín Oficial a la que hace referencia el art. 37 de la Ley, se verificará el mismo día de la inscripción o incluso con posterioridad a ésta.</w:t>
      </w:r>
    </w:p>
    <w:p w14:paraId="664BC798" w14:textId="667EBF7E" w:rsidR="007D7ABF" w:rsidRDefault="003376DA" w:rsidP="00CD7008">
      <w:pPr>
        <w:pBdr>
          <w:top w:val="nil"/>
          <w:left w:val="nil"/>
          <w:bottom w:val="nil"/>
          <w:right w:val="nil"/>
          <w:between w:val="nil"/>
        </w:pBdr>
        <w:spacing w:line="480" w:lineRule="auto"/>
        <w:jc w:val="both"/>
        <w:rPr>
          <w:rFonts w:ascii="Cambria" w:eastAsia="Cambria" w:hAnsi="Cambria" w:cs="Cambria"/>
          <w:b/>
          <w:bCs/>
          <w:color w:val="000000"/>
          <w:sz w:val="24"/>
          <w:szCs w:val="24"/>
        </w:rPr>
      </w:pPr>
      <w:r>
        <w:rPr>
          <w:rFonts w:ascii="Cambria" w:eastAsia="Cambria" w:hAnsi="Cambria" w:cs="Cambria"/>
          <w:b/>
          <w:bCs/>
          <w:color w:val="000000"/>
          <w:sz w:val="24"/>
          <w:szCs w:val="24"/>
        </w:rPr>
        <w:t>2)</w:t>
      </w:r>
    </w:p>
    <w:p w14:paraId="12A04481" w14:textId="23ACC664" w:rsidR="0050263E" w:rsidRDefault="0050263E" w:rsidP="00CD7008">
      <w:pPr>
        <w:pBdr>
          <w:top w:val="nil"/>
          <w:left w:val="nil"/>
          <w:bottom w:val="nil"/>
          <w:right w:val="nil"/>
          <w:between w:val="nil"/>
        </w:pBdr>
        <w:spacing w:line="480" w:lineRule="auto"/>
        <w:jc w:val="both"/>
        <w:rPr>
          <w:rFonts w:ascii="Cambria" w:eastAsia="Cambria" w:hAnsi="Cambria" w:cs="Cambria"/>
          <w:bCs/>
          <w:color w:val="000000"/>
          <w:sz w:val="24"/>
          <w:szCs w:val="24"/>
        </w:rPr>
      </w:pPr>
      <w:r w:rsidRPr="0050263E">
        <w:rPr>
          <w:rFonts w:ascii="Cambria" w:eastAsia="Cambria" w:hAnsi="Cambria" w:cs="Cambria"/>
          <w:bCs/>
          <w:color w:val="000000"/>
          <w:sz w:val="24"/>
          <w:szCs w:val="24"/>
        </w:rPr>
        <w:t xml:space="preserve">c) efectos frente a terceros de los actos inscriptos </w:t>
      </w:r>
      <w:proofErr w:type="spellStart"/>
      <w:r w:rsidR="0072709F">
        <w:rPr>
          <w:rFonts w:ascii="Cambria" w:eastAsia="Cambria" w:hAnsi="Cambria" w:cs="Cambria"/>
          <w:bCs/>
          <w:color w:val="000000"/>
          <w:sz w:val="24"/>
          <w:szCs w:val="24"/>
        </w:rPr>
        <w:t>elelectrónicamente</w:t>
      </w:r>
      <w:proofErr w:type="spellEnd"/>
    </w:p>
    <w:p w14:paraId="0C5B5F94" w14:textId="5F8B877F" w:rsidR="0050263E" w:rsidRDefault="0072709F" w:rsidP="00CD7008">
      <w:pPr>
        <w:pBdr>
          <w:top w:val="nil"/>
          <w:left w:val="nil"/>
          <w:bottom w:val="nil"/>
          <w:right w:val="nil"/>
          <w:between w:val="nil"/>
        </w:pBdr>
        <w:spacing w:line="480" w:lineRule="auto"/>
        <w:jc w:val="both"/>
        <w:rPr>
          <w:rFonts w:ascii="Cambria" w:eastAsia="Cambria" w:hAnsi="Cambria" w:cs="Cambria"/>
          <w:bCs/>
          <w:color w:val="000000"/>
          <w:sz w:val="24"/>
          <w:szCs w:val="24"/>
        </w:rPr>
      </w:pPr>
      <w:r>
        <w:rPr>
          <w:rFonts w:ascii="Cambria" w:eastAsia="Cambria" w:hAnsi="Cambria" w:cs="Cambria"/>
          <w:bCs/>
          <w:color w:val="000000"/>
          <w:sz w:val="24"/>
          <w:szCs w:val="24"/>
        </w:rPr>
        <w:t>d</w:t>
      </w:r>
      <w:r w:rsidR="0050263E" w:rsidRPr="0050263E">
        <w:rPr>
          <w:rFonts w:ascii="Cambria" w:eastAsia="Cambria" w:hAnsi="Cambria" w:cs="Cambria"/>
          <w:bCs/>
          <w:color w:val="000000"/>
          <w:sz w:val="24"/>
          <w:szCs w:val="24"/>
        </w:rPr>
        <w:t>) introducción de más de un idioma en el sistema de inscripción y difusión, y</w:t>
      </w:r>
    </w:p>
    <w:p w14:paraId="15171322" w14:textId="77777777" w:rsidR="000475DA" w:rsidRDefault="000475DA" w:rsidP="00CD7008">
      <w:pPr>
        <w:pBdr>
          <w:top w:val="nil"/>
          <w:left w:val="nil"/>
          <w:bottom w:val="nil"/>
          <w:right w:val="nil"/>
          <w:between w:val="nil"/>
        </w:pBdr>
        <w:spacing w:line="480" w:lineRule="auto"/>
        <w:jc w:val="both"/>
        <w:rPr>
          <w:rFonts w:ascii="Cambria" w:eastAsia="Cambria" w:hAnsi="Cambria" w:cs="Cambria"/>
          <w:bCs/>
          <w:color w:val="000000"/>
          <w:sz w:val="24"/>
          <w:szCs w:val="24"/>
        </w:rPr>
      </w:pPr>
      <w:r w:rsidRPr="0050263E">
        <w:rPr>
          <w:rFonts w:ascii="Cambria" w:eastAsia="Cambria" w:hAnsi="Cambria" w:cs="Cambria"/>
          <w:bCs/>
          <w:color w:val="000000"/>
          <w:sz w:val="24"/>
          <w:szCs w:val="24"/>
        </w:rPr>
        <w:t xml:space="preserve">e) identificación registral en los documentos mercantiles de las sociedades, entre otros temas de no menor </w:t>
      </w:r>
      <w:r>
        <w:rPr>
          <w:rFonts w:ascii="Cambria" w:eastAsia="Cambria" w:hAnsi="Cambria" w:cs="Cambria"/>
          <w:bCs/>
          <w:color w:val="000000"/>
          <w:sz w:val="24"/>
          <w:szCs w:val="24"/>
        </w:rPr>
        <w:t>importancia</w:t>
      </w:r>
    </w:p>
    <w:p w14:paraId="3145ACE9" w14:textId="7E0C23A0" w:rsidR="000475DA" w:rsidRDefault="000475DA" w:rsidP="00CD7008">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3)</w:t>
      </w:r>
    </w:p>
    <w:p w14:paraId="11703A2F" w14:textId="77777777" w:rsidR="00C40885" w:rsidRDefault="00C40885" w:rsidP="00CD7008">
      <w:pPr>
        <w:pBdr>
          <w:top w:val="nil"/>
          <w:left w:val="nil"/>
          <w:bottom w:val="nil"/>
          <w:right w:val="nil"/>
          <w:between w:val="nil"/>
        </w:pBdr>
        <w:spacing w:line="480" w:lineRule="auto"/>
        <w:jc w:val="both"/>
        <w:rPr>
          <w:rFonts w:ascii="Cambria" w:eastAsia="Cambria" w:hAnsi="Cambria" w:cs="Cambria"/>
          <w:b/>
          <w:color w:val="000000"/>
          <w:sz w:val="24"/>
          <w:szCs w:val="24"/>
          <w:u w:val="single"/>
        </w:rPr>
      </w:pPr>
      <w:r>
        <w:rPr>
          <w:rFonts w:ascii="Cambria" w:eastAsia="Cambria" w:hAnsi="Cambria" w:cs="Cambria"/>
          <w:b/>
          <w:color w:val="000000"/>
          <w:sz w:val="24"/>
          <w:szCs w:val="24"/>
          <w:u w:val="single"/>
        </w:rPr>
        <w:t>presenta las siguientes ventajas:</w:t>
      </w:r>
    </w:p>
    <w:p w14:paraId="1974DEA4" w14:textId="77777777" w:rsidR="00C40885" w:rsidRDefault="00C40885" w:rsidP="00CD7008">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b/>
          <w:color w:val="000000"/>
          <w:sz w:val="24"/>
          <w:szCs w:val="24"/>
          <w:u w:val="single"/>
        </w:rPr>
        <w:t xml:space="preserve"> a</w:t>
      </w:r>
      <w:r>
        <w:rPr>
          <w:rFonts w:ascii="Cambria" w:eastAsia="Cambria" w:hAnsi="Cambria" w:cs="Cambria"/>
          <w:color w:val="000000"/>
          <w:sz w:val="24"/>
          <w:szCs w:val="24"/>
        </w:rPr>
        <w:t xml:space="preserve">) mejora el acceso para las pequeñas empresas que operan lejos de las oficinas del registro; </w:t>
      </w:r>
    </w:p>
    <w:p w14:paraId="338DEA95" w14:textId="77777777" w:rsidR="00C40885" w:rsidRDefault="00C40885" w:rsidP="00CD7008">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b) reduce en gran medida el tiempo y los gastos que implica para el empresario cumplir las diversas etapas del proceso de inscripción y, por consiguiente, el tiempo y los gastos necesarios para que una empresa quede definitivamente inscripta así como el costo diario del funcionamiento del registro;</w:t>
      </w:r>
    </w:p>
    <w:p w14:paraId="666D2806" w14:textId="77777777" w:rsidR="00C40885" w:rsidRDefault="00C40885" w:rsidP="00CD7008">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c) permite responder al creciente número de solicitudes de información sobre empresas que formulan otras autoridades públicas; </w:t>
      </w:r>
    </w:p>
    <w:p w14:paraId="04A55C7A" w14:textId="77777777" w:rsidR="00C40885" w:rsidRDefault="00C40885" w:rsidP="00CD7008">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d) reduce las posibilidades de que el personal del registra cometa actos fraudulentos o de corrupción; </w:t>
      </w:r>
    </w:p>
    <w:p w14:paraId="56D9762E" w14:textId="77777777" w:rsidR="00C40885" w:rsidRDefault="00C40885" w:rsidP="00CD7008">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 disminuye el riesgo de que el registro incurra en responsabilidad por las pérdidas que por el contrario podrían sufrir los usuarios si el personal del registro no ingresara correctamente la información consignada en una solicitud de inscripción; </w:t>
      </w:r>
    </w:p>
    <w:p w14:paraId="6F97B5F3" w14:textId="77777777" w:rsidR="00C40885" w:rsidRDefault="00C40885" w:rsidP="00CD7008">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f) se facilita a los usuarios la posibilidad de acceder a los servicios de inscripción e información fuera de los horarios normales de atención al público; y</w:t>
      </w:r>
    </w:p>
    <w:p w14:paraId="2A2C130E" w14:textId="77777777" w:rsidR="00C40885" w:rsidRDefault="00C40885" w:rsidP="00CD7008">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 g) ofrece la posibilidad de obtener ingresos de otras empresas e instituciones financieras que solicitan información sobre las empresas inscriptas para fundamentar su análisis de los riesgos vinculados a posibles contrapartes comerciales y prestatarios.</w:t>
      </w:r>
    </w:p>
    <w:p w14:paraId="7D1CEB31" w14:textId="118E5463" w:rsidR="000475DA" w:rsidRDefault="00C40885" w:rsidP="00CD7008">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4)</w:t>
      </w:r>
    </w:p>
    <w:p w14:paraId="7B9B7705" w14:textId="77777777" w:rsidR="00492DF7" w:rsidRDefault="00492DF7" w:rsidP="00CD7008">
      <w:pPr>
        <w:pBdr>
          <w:top w:val="nil"/>
          <w:left w:val="nil"/>
          <w:bottom w:val="nil"/>
          <w:right w:val="nil"/>
          <w:between w:val="nil"/>
        </w:pBdr>
        <w:spacing w:line="480" w:lineRule="auto"/>
        <w:jc w:val="both"/>
        <w:rPr>
          <w:rFonts w:ascii="Cambria" w:eastAsia="Cambria" w:hAnsi="Cambria" w:cs="Cambria"/>
          <w:bCs/>
          <w:color w:val="000000"/>
          <w:sz w:val="24"/>
          <w:szCs w:val="24"/>
        </w:rPr>
      </w:pPr>
      <w:r>
        <w:rPr>
          <w:rFonts w:ascii="Cambria" w:eastAsia="Cambria" w:hAnsi="Cambria" w:cs="Cambria"/>
          <w:bCs/>
          <w:color w:val="000000"/>
          <w:sz w:val="24"/>
          <w:szCs w:val="24"/>
        </w:rPr>
        <w:t>Si</w:t>
      </w:r>
    </w:p>
    <w:p w14:paraId="1631FC38" w14:textId="4681BBA0" w:rsidR="00492DF7" w:rsidRDefault="00492DF7" w:rsidP="00CD7008">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5)</w:t>
      </w:r>
    </w:p>
    <w:p w14:paraId="2AA3877B" w14:textId="77777777" w:rsidR="00DF76D9" w:rsidRPr="00DF76D9" w:rsidRDefault="00DF76D9" w:rsidP="00CD7008">
      <w:pPr>
        <w:pBdr>
          <w:top w:val="nil"/>
          <w:left w:val="nil"/>
          <w:bottom w:val="nil"/>
          <w:right w:val="nil"/>
          <w:between w:val="nil"/>
        </w:pBdr>
        <w:spacing w:line="480" w:lineRule="auto"/>
        <w:jc w:val="both"/>
        <w:rPr>
          <w:rFonts w:ascii="Cambria" w:eastAsia="Cambria" w:hAnsi="Cambria" w:cs="Cambria"/>
          <w:color w:val="000000"/>
          <w:sz w:val="24"/>
          <w:szCs w:val="24"/>
        </w:rPr>
      </w:pPr>
      <w:r w:rsidRPr="00DF76D9">
        <w:rPr>
          <w:rFonts w:ascii="Cambria" w:eastAsia="Cambria" w:hAnsi="Cambria" w:cs="Cambria"/>
          <w:color w:val="000000"/>
          <w:sz w:val="24"/>
          <w:szCs w:val="24"/>
        </w:rPr>
        <w:t>En primer término, por instrumento público o privado con la firma de los socios certificada en forma judicial, notarial, bancaria o por autoridad competente del Registro Público competente.</w:t>
      </w:r>
    </w:p>
    <w:p w14:paraId="18871B9E" w14:textId="5E913AF2" w:rsidR="00492DF7" w:rsidRDefault="00DF76D9" w:rsidP="00CD7008">
      <w:pPr>
        <w:pBdr>
          <w:top w:val="nil"/>
          <w:left w:val="nil"/>
          <w:bottom w:val="nil"/>
          <w:right w:val="nil"/>
          <w:between w:val="nil"/>
        </w:pBdr>
        <w:spacing w:line="480" w:lineRule="auto"/>
        <w:jc w:val="both"/>
        <w:rPr>
          <w:rFonts w:ascii="Cambria" w:eastAsia="Cambria" w:hAnsi="Cambria" w:cs="Cambria"/>
          <w:bCs/>
          <w:color w:val="000000"/>
          <w:sz w:val="24"/>
          <w:szCs w:val="24"/>
        </w:rPr>
      </w:pPr>
      <w:r w:rsidRPr="00DF76D9">
        <w:rPr>
          <w:rFonts w:ascii="Cambria" w:eastAsia="Cambria" w:hAnsi="Cambria" w:cs="Cambria"/>
          <w:bCs/>
          <w:color w:val="000000"/>
          <w:sz w:val="24"/>
          <w:szCs w:val="24"/>
        </w:rPr>
        <w:t>También la SAS podrá constituirse por medios digitales con firma digital.</w:t>
      </w:r>
    </w:p>
    <w:p w14:paraId="75E8DDAB" w14:textId="1278EE03" w:rsidR="00DF76D9" w:rsidRDefault="00DF76D9" w:rsidP="00CD7008">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6)</w:t>
      </w:r>
    </w:p>
    <w:p w14:paraId="2AAFE785" w14:textId="77777777" w:rsidR="000751AE" w:rsidRDefault="000751AE" w:rsidP="000751AE">
      <w:pPr>
        <w:pBdr>
          <w:top w:val="nil"/>
          <w:left w:val="nil"/>
          <w:bottom w:val="nil"/>
          <w:right w:val="nil"/>
          <w:between w:val="nil"/>
        </w:pBdr>
        <w:spacing w:line="480" w:lineRule="auto"/>
        <w:jc w:val="both"/>
        <w:rPr>
          <w:rFonts w:ascii="Cambria" w:eastAsia="Cambria" w:hAnsi="Cambria" w:cs="Cambria"/>
          <w:bCs/>
          <w:color w:val="000000"/>
          <w:sz w:val="24"/>
          <w:szCs w:val="24"/>
        </w:rPr>
      </w:pPr>
      <w:r w:rsidRPr="000751AE">
        <w:rPr>
          <w:rFonts w:ascii="Cambria" w:eastAsia="Cambria" w:hAnsi="Cambria" w:cs="Cambria"/>
          <w:bCs/>
          <w:color w:val="000000"/>
          <w:sz w:val="24"/>
          <w:szCs w:val="24"/>
        </w:rPr>
        <w:t xml:space="preserve">El capital establecido en el instrumento constitutivo no podrá ser inferior al importe equivalente a dos veces el salario mínimo vital y móvil (art. 40, Ley), y cabe interpretar que los Registros Públicos no podrán exigir un capital superior cualquiera sea el objeto social, de modo que la regla del monto del capital social y su relación con el objeto no será de </w:t>
      </w:r>
      <w:r>
        <w:rPr>
          <w:rFonts w:ascii="Cambria" w:eastAsia="Cambria" w:hAnsi="Cambria" w:cs="Cambria"/>
          <w:bCs/>
          <w:color w:val="000000"/>
          <w:sz w:val="24"/>
          <w:szCs w:val="24"/>
        </w:rPr>
        <w:t>aplicación</w:t>
      </w:r>
    </w:p>
    <w:p w14:paraId="3951AE36" w14:textId="4EA52400" w:rsidR="000751AE" w:rsidRDefault="000751AE" w:rsidP="000751AE">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7)</w:t>
      </w:r>
    </w:p>
    <w:p w14:paraId="39D7F5AC" w14:textId="56A87D79" w:rsidR="008F69C6" w:rsidRDefault="008F69C6" w:rsidP="000751AE">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8)</w:t>
      </w:r>
    </w:p>
    <w:p w14:paraId="6D0E8EC5" w14:textId="77777777" w:rsidR="00933E99" w:rsidRDefault="00933E99" w:rsidP="000751AE">
      <w:pPr>
        <w:pBdr>
          <w:top w:val="nil"/>
          <w:left w:val="nil"/>
          <w:bottom w:val="nil"/>
          <w:right w:val="nil"/>
          <w:between w:val="nil"/>
        </w:pBdr>
        <w:spacing w:line="480" w:lineRule="auto"/>
        <w:jc w:val="both"/>
        <w:rPr>
          <w:rFonts w:ascii="Cambria" w:eastAsia="Cambria" w:hAnsi="Cambria" w:cs="Cambria"/>
          <w:b/>
          <w:iCs/>
          <w:color w:val="000000" w:themeColor="text1"/>
          <w:sz w:val="24"/>
          <w:szCs w:val="24"/>
        </w:rPr>
      </w:pPr>
      <w:r w:rsidRPr="00933E99">
        <w:rPr>
          <w:rFonts w:ascii="Cambria" w:eastAsia="Cambria" w:hAnsi="Cambria" w:cs="Cambria"/>
          <w:iCs/>
          <w:color w:val="000000" w:themeColor="text1"/>
          <w:sz w:val="24"/>
          <w:szCs w:val="24"/>
        </w:rPr>
        <w:t xml:space="preserve">La falta de tal especificidad respecto al órgano de administración, permite sostener su libre elección por parte de los socios (administrador, gerente, director, etc.), </w:t>
      </w:r>
    </w:p>
    <w:p w14:paraId="42D3FA2A" w14:textId="62881C71" w:rsidR="008F69C6" w:rsidRDefault="00933E99" w:rsidP="000751AE">
      <w:pPr>
        <w:pBdr>
          <w:top w:val="nil"/>
          <w:left w:val="nil"/>
          <w:bottom w:val="nil"/>
          <w:right w:val="nil"/>
          <w:between w:val="nil"/>
        </w:pBdr>
        <w:spacing w:line="480" w:lineRule="auto"/>
        <w:jc w:val="both"/>
        <w:rPr>
          <w:rFonts w:ascii="Cambria" w:eastAsia="Cambria" w:hAnsi="Cambria" w:cs="Cambria"/>
          <w:b/>
          <w:iCs/>
          <w:color w:val="000000" w:themeColor="text1"/>
          <w:sz w:val="24"/>
          <w:szCs w:val="24"/>
        </w:rPr>
      </w:pPr>
      <w:r>
        <w:rPr>
          <w:rFonts w:ascii="Cambria" w:eastAsia="Cambria" w:hAnsi="Cambria" w:cs="Cambria"/>
          <w:b/>
          <w:iCs/>
          <w:color w:val="000000" w:themeColor="text1"/>
          <w:sz w:val="24"/>
          <w:szCs w:val="24"/>
        </w:rPr>
        <w:t>9</w:t>
      </w:r>
      <w:r w:rsidR="008F69C6" w:rsidRPr="00933E99">
        <w:rPr>
          <w:rFonts w:ascii="Cambria" w:eastAsia="Cambria" w:hAnsi="Cambria" w:cs="Cambria"/>
          <w:b/>
          <w:iCs/>
          <w:color w:val="000000" w:themeColor="text1"/>
          <w:sz w:val="24"/>
          <w:szCs w:val="24"/>
        </w:rPr>
        <w:t>)</w:t>
      </w:r>
    </w:p>
    <w:p w14:paraId="1F71FDF1" w14:textId="77777777" w:rsidR="003928B0" w:rsidRPr="003928B0" w:rsidRDefault="003928B0" w:rsidP="00BD64C6">
      <w:pPr>
        <w:pBdr>
          <w:top w:val="nil"/>
          <w:left w:val="nil"/>
          <w:bottom w:val="nil"/>
          <w:right w:val="nil"/>
          <w:between w:val="nil"/>
        </w:pBdr>
        <w:spacing w:line="480" w:lineRule="auto"/>
        <w:jc w:val="both"/>
        <w:rPr>
          <w:rFonts w:ascii="Cambria" w:eastAsia="Cambria" w:hAnsi="Cambria" w:cs="Cambria"/>
          <w:bCs/>
          <w:color w:val="000000"/>
          <w:sz w:val="24"/>
          <w:szCs w:val="24"/>
        </w:rPr>
      </w:pPr>
      <w:r w:rsidRPr="003928B0">
        <w:rPr>
          <w:rFonts w:ascii="Cambria" w:eastAsia="Cambria" w:hAnsi="Cambria" w:cs="Cambria"/>
          <w:bCs/>
          <w:color w:val="000000"/>
          <w:sz w:val="24"/>
          <w:szCs w:val="24"/>
        </w:rPr>
        <w:t xml:space="preserve">El art. 49 prevé las reuniones </w:t>
      </w:r>
      <w:proofErr w:type="spellStart"/>
      <w:r w:rsidRPr="003928B0">
        <w:rPr>
          <w:rFonts w:ascii="Cambria" w:eastAsia="Cambria" w:hAnsi="Cambria" w:cs="Cambria"/>
          <w:bCs/>
          <w:color w:val="000000"/>
          <w:sz w:val="24"/>
          <w:szCs w:val="24"/>
        </w:rPr>
        <w:t>autoconvocadas</w:t>
      </w:r>
      <w:proofErr w:type="spellEnd"/>
      <w:r w:rsidRPr="003928B0">
        <w:rPr>
          <w:rFonts w:ascii="Cambria" w:eastAsia="Cambria" w:hAnsi="Cambria" w:cs="Cambria"/>
          <w:bCs/>
          <w:color w:val="000000"/>
          <w:sz w:val="24"/>
          <w:szCs w:val="24"/>
        </w:rPr>
        <w:t>, sin citación previa, lo cual comporta una novedad.</w:t>
      </w:r>
    </w:p>
    <w:p w14:paraId="3B1AEF71" w14:textId="3540141A" w:rsidR="008F69C6" w:rsidRDefault="008F69C6" w:rsidP="000751AE">
      <w:pPr>
        <w:pBdr>
          <w:top w:val="nil"/>
          <w:left w:val="nil"/>
          <w:bottom w:val="nil"/>
          <w:right w:val="nil"/>
          <w:between w:val="nil"/>
        </w:pBdr>
        <w:spacing w:line="480" w:lineRule="auto"/>
        <w:jc w:val="both"/>
        <w:rPr>
          <w:rFonts w:ascii="Cambria" w:eastAsia="Cambria" w:hAnsi="Cambria" w:cs="Cambria"/>
          <w:b/>
          <w:color w:val="000000"/>
          <w:sz w:val="24"/>
          <w:szCs w:val="24"/>
        </w:rPr>
      </w:pPr>
      <w:r>
        <w:rPr>
          <w:rFonts w:ascii="Cambria" w:eastAsia="Cambria" w:hAnsi="Cambria" w:cs="Cambria"/>
          <w:b/>
          <w:color w:val="000000"/>
          <w:sz w:val="24"/>
          <w:szCs w:val="24"/>
        </w:rPr>
        <w:t>10)</w:t>
      </w:r>
    </w:p>
    <w:p w14:paraId="0E76AB5D" w14:textId="77777777" w:rsidR="00DA74AC" w:rsidRDefault="00DA74AC" w:rsidP="00BD64C6">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u w:val="single"/>
        </w:rPr>
        <w:t>Los estados contables de la SAS no deben presentarse ante el Registro Público ni ante la Autoridad de contralor estatal</w:t>
      </w:r>
      <w:r>
        <w:rPr>
          <w:rFonts w:ascii="Cambria" w:eastAsia="Cambria" w:hAnsi="Cambria" w:cs="Cambria"/>
          <w:color w:val="000000"/>
          <w:sz w:val="24"/>
          <w:szCs w:val="24"/>
        </w:rPr>
        <w:t>. En cambio, se presentarán ante la Administración Federal de Ingresos Públicos (AFIP) y otros organismos, en su caso, en cumplimiento de las normas legales de aplicación.</w:t>
      </w:r>
    </w:p>
    <w:p w14:paraId="609B3596" w14:textId="5E39A5FB" w:rsidR="00666D92" w:rsidRPr="00666D92" w:rsidRDefault="00666D92" w:rsidP="00BD64C6">
      <w:pPr>
        <w:pBdr>
          <w:top w:val="nil"/>
          <w:left w:val="nil"/>
          <w:bottom w:val="nil"/>
          <w:right w:val="nil"/>
          <w:between w:val="nil"/>
        </w:pBdr>
        <w:spacing w:line="480" w:lineRule="auto"/>
        <w:jc w:val="both"/>
        <w:rPr>
          <w:rFonts w:ascii="Cambria" w:eastAsia="Cambria" w:hAnsi="Cambria" w:cs="Cambria"/>
          <w:b/>
          <w:bCs/>
          <w:color w:val="000000"/>
          <w:sz w:val="24"/>
          <w:szCs w:val="24"/>
        </w:rPr>
      </w:pPr>
      <w:r>
        <w:rPr>
          <w:rFonts w:ascii="Cambria" w:eastAsia="Cambria" w:hAnsi="Cambria" w:cs="Cambria"/>
          <w:b/>
          <w:bCs/>
          <w:color w:val="000000"/>
          <w:sz w:val="24"/>
          <w:szCs w:val="24"/>
        </w:rPr>
        <w:t>11)</w:t>
      </w:r>
    </w:p>
    <w:p w14:paraId="353AE4EA" w14:textId="0F8FAA19" w:rsidR="008F69C6" w:rsidRPr="00666D92" w:rsidRDefault="00DA74AC" w:rsidP="000751AE">
      <w:pPr>
        <w:pBdr>
          <w:top w:val="nil"/>
          <w:left w:val="nil"/>
          <w:bottom w:val="nil"/>
          <w:right w:val="nil"/>
          <w:between w:val="nil"/>
        </w:pBdr>
        <w:spacing w:line="48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La SAS </w:t>
      </w:r>
      <w:r>
        <w:rPr>
          <w:rFonts w:ascii="Cambria" w:eastAsia="Cambria" w:hAnsi="Cambria" w:cs="Cambria"/>
          <w:b/>
          <w:color w:val="000000"/>
          <w:sz w:val="24"/>
          <w:szCs w:val="24"/>
        </w:rPr>
        <w:t xml:space="preserve">deberá llevar cuatro libros: a) de actas; b) de registro de acciones; c) diario y d) de inventario y balances </w:t>
      </w:r>
      <w:r>
        <w:rPr>
          <w:rFonts w:ascii="Cambria" w:eastAsia="Cambria" w:hAnsi="Cambria" w:cs="Cambria"/>
          <w:color w:val="000000"/>
          <w:sz w:val="24"/>
          <w:szCs w:val="24"/>
        </w:rPr>
        <w:t>.</w:t>
      </w:r>
    </w:p>
    <w:p w14:paraId="5ECF5CD4" w14:textId="77777777" w:rsidR="000751AE" w:rsidRPr="000751AE" w:rsidRDefault="000751AE" w:rsidP="000751AE">
      <w:pPr>
        <w:pBdr>
          <w:top w:val="nil"/>
          <w:left w:val="nil"/>
          <w:bottom w:val="nil"/>
          <w:right w:val="nil"/>
          <w:between w:val="nil"/>
        </w:pBdr>
        <w:spacing w:line="480" w:lineRule="auto"/>
        <w:jc w:val="both"/>
        <w:rPr>
          <w:rFonts w:ascii="Cambria" w:eastAsia="Cambria" w:hAnsi="Cambria" w:cs="Cambria"/>
          <w:bCs/>
          <w:color w:val="000000"/>
          <w:sz w:val="24"/>
          <w:szCs w:val="24"/>
        </w:rPr>
      </w:pPr>
    </w:p>
    <w:p w14:paraId="3A80F48F" w14:textId="6EAAD4BA" w:rsidR="00965E3F" w:rsidRPr="000751AE" w:rsidRDefault="00965E3F" w:rsidP="000751AE">
      <w:pPr>
        <w:pBdr>
          <w:top w:val="nil"/>
          <w:left w:val="nil"/>
          <w:bottom w:val="nil"/>
          <w:right w:val="nil"/>
          <w:between w:val="nil"/>
        </w:pBdr>
        <w:spacing w:line="480" w:lineRule="auto"/>
        <w:jc w:val="both"/>
        <w:rPr>
          <w:rFonts w:ascii="Cambria" w:eastAsia="Cambria" w:hAnsi="Cambria" w:cs="Cambria"/>
          <w:bCs/>
          <w:color w:val="000000"/>
          <w:sz w:val="24"/>
          <w:szCs w:val="24"/>
        </w:rPr>
      </w:pPr>
    </w:p>
    <w:sectPr w:rsidR="00965E3F" w:rsidRPr="000751AE">
      <w:footerReference w:type="default" r:id="rId7"/>
      <w:pgSz w:w="11907" w:h="1683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155B" w14:textId="77777777" w:rsidR="00C72B00" w:rsidRDefault="00C72B00">
      <w:r>
        <w:separator/>
      </w:r>
    </w:p>
    <w:p w14:paraId="1B82326E" w14:textId="77777777" w:rsidR="00C72B00" w:rsidRDefault="00C72B00"/>
  </w:endnote>
  <w:endnote w:type="continuationSeparator" w:id="0">
    <w:p w14:paraId="53082A80" w14:textId="77777777" w:rsidR="00C72B00" w:rsidRDefault="00C72B00">
      <w:r>
        <w:continuationSeparator/>
      </w:r>
    </w:p>
    <w:p w14:paraId="7B5358B9" w14:textId="77777777" w:rsidR="00C72B00" w:rsidRDefault="00C72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0DB3C4C9" w14:textId="77777777" w:rsidR="005A6A9B" w:rsidRDefault="00B052CE">
        <w:pPr>
          <w:pStyle w:val="Piedepgina"/>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A69C" w14:textId="77777777" w:rsidR="00C72B00" w:rsidRDefault="00C72B00">
      <w:r>
        <w:separator/>
      </w:r>
    </w:p>
    <w:p w14:paraId="2F8E910E" w14:textId="77777777" w:rsidR="00C72B00" w:rsidRDefault="00C72B00"/>
  </w:footnote>
  <w:footnote w:type="continuationSeparator" w:id="0">
    <w:p w14:paraId="6B9E9A43" w14:textId="77777777" w:rsidR="00C72B00" w:rsidRDefault="00C72B00">
      <w:r>
        <w:continuationSeparator/>
      </w:r>
    </w:p>
    <w:p w14:paraId="3E90F546" w14:textId="77777777" w:rsidR="00C72B00" w:rsidRDefault="00C72B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aconvietas"/>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7419F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AB4355"/>
    <w:multiLevelType w:val="hybridMultilevel"/>
    <w:tmpl w:val="0B203272"/>
    <w:lvl w:ilvl="0" w:tplc="CE0E85FE">
      <w:start w:val="1"/>
      <w:numFmt w:val="decimal"/>
      <w:pStyle w:val="Listaconnme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attachedTemplate r:id="rId1"/>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143"/>
    <w:rsid w:val="000475DA"/>
    <w:rsid w:val="000751AE"/>
    <w:rsid w:val="000A1E95"/>
    <w:rsid w:val="000A5F7F"/>
    <w:rsid w:val="000F1A46"/>
    <w:rsid w:val="00106A32"/>
    <w:rsid w:val="002730C3"/>
    <w:rsid w:val="003376DA"/>
    <w:rsid w:val="003928B0"/>
    <w:rsid w:val="00444E24"/>
    <w:rsid w:val="00492DF7"/>
    <w:rsid w:val="0050263E"/>
    <w:rsid w:val="005A6A9B"/>
    <w:rsid w:val="00666D92"/>
    <w:rsid w:val="0072709F"/>
    <w:rsid w:val="00741033"/>
    <w:rsid w:val="007D7ABF"/>
    <w:rsid w:val="008F69C6"/>
    <w:rsid w:val="00933E99"/>
    <w:rsid w:val="00965E3F"/>
    <w:rsid w:val="00B052CE"/>
    <w:rsid w:val="00C40885"/>
    <w:rsid w:val="00C72B00"/>
    <w:rsid w:val="00DA74AC"/>
    <w:rsid w:val="00DC24E8"/>
    <w:rsid w:val="00DF76D9"/>
    <w:rsid w:val="00EB6143"/>
    <w:rsid w:val="00F24413"/>
    <w:rsid w:val="00F53F7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6FE3C"/>
  <w15:chartTrackingRefBased/>
  <w15:docId w15:val="{DFF4DE89-2AFC-4744-A3D3-2B00240A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95"/>
    <w:rPr>
      <w:lang w:val="es-ES"/>
    </w:rPr>
  </w:style>
  <w:style w:type="paragraph" w:styleId="Ttulo1">
    <w:name w:val="heading 1"/>
    <w:basedOn w:val="Normal"/>
    <w:next w:val="Normal"/>
    <w:link w:val="Ttulo1C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Ttulo2">
    <w:name w:val="heading 2"/>
    <w:basedOn w:val="Normal"/>
    <w:next w:val="Normal"/>
    <w:link w:val="Ttulo2C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Ttulo3">
    <w:name w:val="heading 3"/>
    <w:basedOn w:val="Normal"/>
    <w:next w:val="Normal"/>
    <w:link w:val="Ttulo3C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Ttulo4">
    <w:name w:val="heading 4"/>
    <w:basedOn w:val="Normal"/>
    <w:next w:val="Normal"/>
    <w:link w:val="Ttulo4C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Ttulo5">
    <w:name w:val="heading 5"/>
    <w:basedOn w:val="Normal"/>
    <w:next w:val="Normal"/>
    <w:link w:val="Ttulo5C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Ttulo6">
    <w:name w:val="heading 6"/>
    <w:basedOn w:val="Normal"/>
    <w:next w:val="Normal"/>
    <w:link w:val="Ttulo6C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Ttulo7">
    <w:name w:val="heading 7"/>
    <w:basedOn w:val="Normal"/>
    <w:next w:val="Normal"/>
    <w:link w:val="Ttulo7C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Ttulo8">
    <w:name w:val="heading 8"/>
    <w:basedOn w:val="Normal"/>
    <w:next w:val="Normal"/>
    <w:link w:val="Ttulo8C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Ttulo9">
    <w:name w:val="heading 9"/>
    <w:basedOn w:val="Normal"/>
    <w:next w:val="Normal"/>
    <w:link w:val="Ttulo9C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
    <w:qFormat/>
    <w:pPr>
      <w:numPr>
        <w:numId w:val="3"/>
      </w:numPr>
    </w:pPr>
  </w:style>
  <w:style w:type="character" w:customStyle="1" w:styleId="Ttulo1Car">
    <w:name w:val="Título 1 Car"/>
    <w:basedOn w:val="Fuentedeprrafopredeter"/>
    <w:link w:val="Ttulo1"/>
    <w:uiPriority w:val="9"/>
    <w:rPr>
      <w:rFonts w:asciiTheme="majorHAnsi" w:eastAsiaTheme="majorEastAsia" w:hAnsiTheme="majorHAnsi" w:cstheme="majorBidi"/>
      <w:color w:val="731C3F" w:themeColor="accent1"/>
      <w:sz w:val="40"/>
      <w:szCs w:val="32"/>
    </w:rPr>
  </w:style>
  <w:style w:type="paragraph" w:styleId="Listaconnmeros">
    <w:name w:val="List Number"/>
    <w:basedOn w:val="Normal"/>
    <w:uiPriority w:val="9"/>
    <w:qFormat/>
    <w:pPr>
      <w:numPr>
        <w:numId w:val="4"/>
      </w:numPr>
    </w:pPr>
  </w:style>
  <w:style w:type="paragraph" w:styleId="Encabezado">
    <w:name w:val="header"/>
    <w:basedOn w:val="Normal"/>
    <w:link w:val="EncabezadoCar"/>
    <w:uiPriority w:val="99"/>
    <w:unhideWhenUsed/>
    <w:qFormat/>
    <w:pPr>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spacing w:after="0" w:line="240" w:lineRule="auto"/>
    </w:pPr>
  </w:style>
  <w:style w:type="character" w:customStyle="1" w:styleId="PiedepginaCar">
    <w:name w:val="Pie de página Car"/>
    <w:basedOn w:val="Fuentedeprrafopredeter"/>
    <w:link w:val="Piedepgina"/>
    <w:uiPriority w:val="99"/>
  </w:style>
  <w:style w:type="character" w:styleId="Textodelmarcadordeposicin">
    <w:name w:val="Placeholder Text"/>
    <w:basedOn w:val="Fuentedeprrafopredeter"/>
    <w:uiPriority w:val="99"/>
    <w:semiHidden/>
    <w:rPr>
      <w:color w:val="808080"/>
    </w:rPr>
  </w:style>
  <w:style w:type="paragraph" w:styleId="Ttulo">
    <w:name w:val="Title"/>
    <w:basedOn w:val="Normal"/>
    <w:link w:val="TtuloC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tuloCar">
    <w:name w:val="Título Car"/>
    <w:basedOn w:val="Fuentedeprrafopredeter"/>
    <w:link w:val="Ttulo"/>
    <w:uiPriority w:val="10"/>
    <w:semiHidden/>
    <w:rPr>
      <w:rFonts w:asciiTheme="majorHAnsi" w:eastAsiaTheme="majorEastAsia" w:hAnsiTheme="majorHAnsi" w:cstheme="majorBidi"/>
      <w:caps/>
      <w:color w:val="262626" w:themeColor="text1" w:themeTint="D9"/>
      <w:kern w:val="28"/>
      <w:sz w:val="66"/>
      <w:szCs w:val="56"/>
    </w:rPr>
  </w:style>
  <w:style w:type="paragraph" w:styleId="Subttulo">
    <w:name w:val="Subtitle"/>
    <w:basedOn w:val="Normal"/>
    <w:link w:val="SubttuloCar"/>
    <w:uiPriority w:val="11"/>
    <w:semiHidden/>
    <w:unhideWhenUsed/>
    <w:qFormat/>
    <w:pPr>
      <w:numPr>
        <w:ilvl w:val="1"/>
      </w:numPr>
      <w:spacing w:after="520"/>
      <w:contextualSpacing/>
    </w:pPr>
    <w:rPr>
      <w:rFonts w:eastAsiaTheme="minorEastAsia"/>
      <w:caps/>
      <w:sz w:val="40"/>
    </w:rPr>
  </w:style>
  <w:style w:type="character" w:customStyle="1" w:styleId="SubttuloCar">
    <w:name w:val="Subtítulo Car"/>
    <w:basedOn w:val="Fuentedeprrafopredeter"/>
    <w:link w:val="Subttulo"/>
    <w:uiPriority w:val="11"/>
    <w:semiHidden/>
    <w:rPr>
      <w:rFonts w:eastAsiaTheme="minorEastAsia"/>
      <w:caps/>
      <w:sz w:val="40"/>
    </w:rPr>
  </w:style>
  <w:style w:type="character" w:styleId="Referenciaintensa">
    <w:name w:val="Intense Reference"/>
    <w:basedOn w:val="Fuentedeprrafopredeter"/>
    <w:uiPriority w:val="32"/>
    <w:semiHidden/>
    <w:unhideWhenUsed/>
    <w:qFormat/>
    <w:rPr>
      <w:b/>
      <w:bCs/>
      <w:caps/>
      <w:smallCaps w:val="0"/>
      <w:color w:val="262626" w:themeColor="text1" w:themeTint="D9"/>
      <w:spacing w:val="0"/>
    </w:rPr>
  </w:style>
  <w:style w:type="character" w:styleId="Ttulodellibro">
    <w:name w:val="Book Title"/>
    <w:basedOn w:val="Fuentedeprrafopredeter"/>
    <w:uiPriority w:val="33"/>
    <w:semiHidden/>
    <w:unhideWhenUsed/>
    <w:rPr>
      <w:b w:val="0"/>
      <w:bCs/>
      <w:i w:val="0"/>
      <w:iCs/>
      <w:spacing w:val="0"/>
      <w:u w:val="single"/>
    </w:rPr>
  </w:style>
  <w:style w:type="character" w:customStyle="1" w:styleId="Ttulo2Car">
    <w:name w:val="Título 2 Car"/>
    <w:basedOn w:val="Fuentedeprrafopredeter"/>
    <w:link w:val="Ttulo2"/>
    <w:uiPriority w:val="9"/>
    <w:rPr>
      <w:rFonts w:asciiTheme="majorHAnsi" w:eastAsiaTheme="majorEastAsia" w:hAnsiTheme="majorHAnsi" w:cstheme="majorBidi"/>
      <w:b/>
      <w:color w:val="7F7F7F" w:themeColor="text1" w:themeTint="8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sz w:val="40"/>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sz w:val="4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62626" w:themeColor="text1" w:themeTint="D9"/>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color w:val="262626" w:themeColor="text1" w:themeTint="D9"/>
      <w:sz w:val="3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Cs/>
      <w:sz w:val="34"/>
    </w:rPr>
  </w:style>
  <w:style w:type="character" w:customStyle="1" w:styleId="Ttulo8Car">
    <w:name w:val="Título 8 Car"/>
    <w:basedOn w:val="Fuentedeprrafopredeter"/>
    <w:link w:val="Ttulo8"/>
    <w:uiPriority w:val="9"/>
    <w:semiHidden/>
    <w:rPr>
      <w:rFonts w:asciiTheme="majorHAnsi" w:eastAsiaTheme="majorEastAsia" w:hAnsiTheme="majorHAnsi" w:cstheme="majorBidi"/>
      <w:i/>
      <w:sz w:val="34"/>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Cs/>
      <w:color w:val="262626" w:themeColor="text1" w:themeTint="D9"/>
      <w:szCs w:val="21"/>
    </w:rPr>
  </w:style>
  <w:style w:type="character" w:styleId="nfasissutil">
    <w:name w:val="Subtle Emphasis"/>
    <w:basedOn w:val="Fuentedeprrafopredeter"/>
    <w:uiPriority w:val="19"/>
    <w:semiHidden/>
    <w:unhideWhenUsed/>
    <w:qFormat/>
    <w:rPr>
      <w:i/>
      <w:iCs/>
      <w:color w:val="404040" w:themeColor="text1" w:themeTint="BF"/>
    </w:rPr>
  </w:style>
  <w:style w:type="character" w:styleId="nfasis">
    <w:name w:val="Emphasis"/>
    <w:basedOn w:val="Fuentedeprrafopredeter"/>
    <w:uiPriority w:val="20"/>
    <w:semiHidden/>
    <w:unhideWhenUsed/>
    <w:qFormat/>
    <w:rPr>
      <w:b/>
      <w:iCs/>
      <w:color w:val="262626" w:themeColor="text1" w:themeTint="D9"/>
    </w:rPr>
  </w:style>
  <w:style w:type="character" w:styleId="nfasisintenso">
    <w:name w:val="Intense Emphasis"/>
    <w:basedOn w:val="Fuentedeprrafopredeter"/>
    <w:uiPriority w:val="21"/>
    <w:semiHidden/>
    <w:unhideWhenUsed/>
    <w:qFormat/>
    <w:rPr>
      <w:b/>
      <w:i/>
      <w:iCs/>
      <w:color w:val="262626" w:themeColor="text1" w:themeTint="D9"/>
    </w:rPr>
  </w:style>
  <w:style w:type="character" w:styleId="Textoennegrita">
    <w:name w:val="Strong"/>
    <w:basedOn w:val="Fuentedeprrafopredeter"/>
    <w:uiPriority w:val="22"/>
    <w:semiHidden/>
    <w:unhideWhenUsed/>
    <w:qFormat/>
    <w:rPr>
      <w:b/>
      <w:bCs/>
    </w:rPr>
  </w:style>
  <w:style w:type="paragraph" w:styleId="Cita">
    <w:name w:val="Quote"/>
    <w:basedOn w:val="Normal"/>
    <w:next w:val="Normal"/>
    <w:link w:val="CitaCar"/>
    <w:uiPriority w:val="29"/>
    <w:semiHidden/>
    <w:unhideWhenUsed/>
    <w:qFormat/>
    <w:pPr>
      <w:spacing w:before="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pPr>
    <w:rPr>
      <w:b/>
      <w:i/>
      <w:iCs/>
      <w:sz w:val="36"/>
    </w:rPr>
  </w:style>
  <w:style w:type="character" w:customStyle="1" w:styleId="CitadestacadaCar">
    <w:name w:val="Cita destacada Car"/>
    <w:basedOn w:val="Fuentedeprrafopredeter"/>
    <w:link w:val="Citadestacada"/>
    <w:uiPriority w:val="30"/>
    <w:semiHidden/>
    <w:rPr>
      <w:b/>
      <w:i/>
      <w:iCs/>
      <w:sz w:val="36"/>
    </w:rPr>
  </w:style>
  <w:style w:type="character" w:styleId="Referenciasutil">
    <w:name w:val="Subtle Reference"/>
    <w:basedOn w:val="Fuentedeprrafopredeter"/>
    <w:uiPriority w:val="31"/>
    <w:semiHidden/>
    <w:unhideWhenUsed/>
    <w:qFormat/>
    <w:rPr>
      <w:caps/>
      <w:smallCaps w:val="0"/>
      <w:color w:val="262626" w:themeColor="text1" w:themeTint="D9"/>
    </w:rPr>
  </w:style>
  <w:style w:type="paragraph" w:styleId="Descripcin">
    <w:name w:val="caption"/>
    <w:basedOn w:val="Normal"/>
    <w:next w:val="Normal"/>
    <w:uiPriority w:val="35"/>
    <w:semiHidden/>
    <w:unhideWhenUsed/>
    <w:qFormat/>
    <w:pPr>
      <w:spacing w:after="200" w:line="240" w:lineRule="auto"/>
    </w:pPr>
    <w:rPr>
      <w:i/>
      <w:iCs/>
      <w:sz w:val="24"/>
      <w:szCs w:val="18"/>
    </w:rPr>
  </w:style>
  <w:style w:type="paragraph" w:styleId="TtuloTDC">
    <w:name w:val="TOC Heading"/>
    <w:basedOn w:val="Ttulo1"/>
    <w:next w:val="Normal"/>
    <w:uiPriority w:val="39"/>
    <w:semiHidden/>
    <w:unhideWhenUsed/>
    <w:qFormat/>
    <w:pPr>
      <w:outlineLvl w:val="9"/>
    </w:pPr>
  </w:style>
  <w:style w:type="character" w:styleId="Hipervnculo">
    <w:name w:val="Hyperlink"/>
    <w:basedOn w:val="Fuentedeprrafopredeter"/>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7b2FADED54-5D67-4F49-AE4B-C0C6B2651E41%7dtf50002051.dotx" TargetMode="External" /></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%7b2FADED54-5D67-4F49-AE4B-C0C6B2651E41%7dtf50002051.dotx</Template>
  <TotalTime>0</TotalTime>
  <Pages>1</Pages>
  <Words>706</Words>
  <Characters>3888</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Gomez</dc:creator>
  <cp:keywords/>
  <dc:description/>
  <cp:lastModifiedBy>Ramiro Gomez</cp:lastModifiedBy>
  <cp:revision>2</cp:revision>
  <dcterms:created xsi:type="dcterms:W3CDTF">2022-03-08T10:56:00Z</dcterms:created>
  <dcterms:modified xsi:type="dcterms:W3CDTF">2022-03-08T10:56:00Z</dcterms:modified>
</cp:coreProperties>
</file>