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8433E" w14:textId="0D82E3F1" w:rsidR="005A6A9B" w:rsidRDefault="006723AE">
      <w:pPr>
        <w:pStyle w:val="Ttulo1"/>
      </w:pPr>
      <w:r>
        <w:t>Guía 13</w:t>
      </w:r>
    </w:p>
    <w:p w14:paraId="2BA6A456" w14:textId="77777777" w:rsidR="003E088D" w:rsidRPr="002942A0" w:rsidRDefault="003E088D" w:rsidP="00CF5CC0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2A0">
        <w:rPr>
          <w:rFonts w:ascii="Calibri" w:eastAsia="Times New Roman" w:hAnsi="Calibri" w:cs="Calibri"/>
          <w:b/>
          <w:bCs/>
          <w:color w:val="002060"/>
          <w:sz w:val="24"/>
          <w:szCs w:val="24"/>
          <w:u w:val="single"/>
        </w:rPr>
        <w:t>ACTIVIDADES</w:t>
      </w:r>
      <w:r w:rsidRPr="002942A0">
        <w:rPr>
          <w:rFonts w:ascii="Calibri" w:eastAsia="Times New Roman" w:hAnsi="Calibri" w:cs="Calibri"/>
          <w:color w:val="002060"/>
          <w:sz w:val="24"/>
          <w:szCs w:val="24"/>
        </w:rPr>
        <w:t>:</w:t>
      </w:r>
      <w:r w:rsidRPr="002942A0">
        <w:rPr>
          <w:rFonts w:ascii="Calibri" w:eastAsia="Times New Roman" w:hAnsi="Calibri" w:cs="Calibri"/>
          <w:color w:val="002060"/>
        </w:rPr>
        <w:t>   </w:t>
      </w:r>
    </w:p>
    <w:p w14:paraId="32FB5368" w14:textId="77777777" w:rsidR="003E088D" w:rsidRPr="002942A0" w:rsidRDefault="003E088D" w:rsidP="003E088D">
      <w:pPr>
        <w:numPr>
          <w:ilvl w:val="0"/>
          <w:numId w:val="5"/>
        </w:numPr>
        <w:spacing w:after="0" w:line="480" w:lineRule="auto"/>
        <w:jc w:val="both"/>
        <w:textAlignment w:val="baseline"/>
        <w:rPr>
          <w:rFonts w:ascii="Calibri" w:eastAsia="Times New Roman" w:hAnsi="Calibri" w:cs="Calibri"/>
          <w:color w:val="002060"/>
          <w:sz w:val="24"/>
          <w:szCs w:val="24"/>
        </w:rPr>
      </w:pPr>
      <w:r w:rsidRPr="002942A0">
        <w:rPr>
          <w:rFonts w:ascii="Calibri" w:eastAsia="Times New Roman" w:hAnsi="Calibri" w:cs="Calibri"/>
          <w:color w:val="002060"/>
          <w:sz w:val="24"/>
          <w:szCs w:val="24"/>
        </w:rPr>
        <w:t>Que es la quiebra?</w:t>
      </w:r>
    </w:p>
    <w:p w14:paraId="6EBB804A" w14:textId="77777777" w:rsidR="003E088D" w:rsidRPr="002942A0" w:rsidRDefault="003E088D" w:rsidP="003E088D">
      <w:pPr>
        <w:numPr>
          <w:ilvl w:val="0"/>
          <w:numId w:val="5"/>
        </w:numPr>
        <w:spacing w:after="0" w:line="480" w:lineRule="auto"/>
        <w:jc w:val="both"/>
        <w:textAlignment w:val="baseline"/>
        <w:rPr>
          <w:rFonts w:ascii="Calibri" w:eastAsia="Times New Roman" w:hAnsi="Calibri" w:cs="Calibri"/>
          <w:color w:val="002060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color w:val="002060"/>
          <w:sz w:val="24"/>
          <w:szCs w:val="24"/>
          <w:lang w:val="es-AR"/>
        </w:rPr>
        <w:t>Que clases de quiebran existen?</w:t>
      </w:r>
    </w:p>
    <w:p w14:paraId="2A3589F9" w14:textId="77777777" w:rsidR="003E088D" w:rsidRPr="002942A0" w:rsidRDefault="003E088D" w:rsidP="003E088D">
      <w:pPr>
        <w:numPr>
          <w:ilvl w:val="0"/>
          <w:numId w:val="5"/>
        </w:numPr>
        <w:spacing w:after="0" w:line="480" w:lineRule="auto"/>
        <w:jc w:val="both"/>
        <w:textAlignment w:val="baseline"/>
        <w:rPr>
          <w:rFonts w:ascii="Calibri" w:eastAsia="Times New Roman" w:hAnsi="Calibri" w:cs="Calibri"/>
          <w:color w:val="002060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color w:val="002060"/>
          <w:sz w:val="24"/>
          <w:szCs w:val="24"/>
          <w:lang w:val="es-AR"/>
        </w:rPr>
        <w:t>En qué casos procede la quiebra indirecta?</w:t>
      </w:r>
    </w:p>
    <w:p w14:paraId="62FAEF4B" w14:textId="77777777" w:rsidR="003E088D" w:rsidRPr="002942A0" w:rsidRDefault="003E088D" w:rsidP="003E088D">
      <w:pPr>
        <w:numPr>
          <w:ilvl w:val="0"/>
          <w:numId w:val="5"/>
        </w:numPr>
        <w:spacing w:after="0" w:line="480" w:lineRule="auto"/>
        <w:jc w:val="both"/>
        <w:textAlignment w:val="baseline"/>
        <w:rPr>
          <w:rFonts w:ascii="Calibri" w:eastAsia="Times New Roman" w:hAnsi="Calibri" w:cs="Calibri"/>
          <w:color w:val="002060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color w:val="002060"/>
          <w:sz w:val="24"/>
          <w:szCs w:val="24"/>
          <w:lang w:val="es-AR"/>
        </w:rPr>
        <w:t> Quien puede solicitar la quiebra directa?</w:t>
      </w:r>
    </w:p>
    <w:p w14:paraId="4FBB0848" w14:textId="77777777" w:rsidR="003E088D" w:rsidRPr="002942A0" w:rsidRDefault="003E088D" w:rsidP="003E088D">
      <w:pPr>
        <w:numPr>
          <w:ilvl w:val="0"/>
          <w:numId w:val="5"/>
        </w:numPr>
        <w:spacing w:after="0" w:line="480" w:lineRule="auto"/>
        <w:jc w:val="both"/>
        <w:textAlignment w:val="baseline"/>
        <w:rPr>
          <w:rFonts w:ascii="Calibri" w:eastAsia="Times New Roman" w:hAnsi="Calibri" w:cs="Calibri"/>
          <w:color w:val="002060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color w:val="002060"/>
          <w:sz w:val="24"/>
          <w:szCs w:val="24"/>
          <w:lang w:val="es-AR"/>
        </w:rPr>
        <w:t>Que debe probar el acreedor para solicitar la quiebra del deudor?</w:t>
      </w:r>
    </w:p>
    <w:p w14:paraId="55398B8B" w14:textId="77777777" w:rsidR="003E088D" w:rsidRPr="002942A0" w:rsidRDefault="003E088D" w:rsidP="003E088D">
      <w:pPr>
        <w:numPr>
          <w:ilvl w:val="0"/>
          <w:numId w:val="5"/>
        </w:numPr>
        <w:spacing w:after="0" w:line="480" w:lineRule="auto"/>
        <w:jc w:val="both"/>
        <w:textAlignment w:val="baseline"/>
        <w:rPr>
          <w:rFonts w:ascii="Calibri" w:eastAsia="Times New Roman" w:hAnsi="Calibri" w:cs="Calibri"/>
          <w:color w:val="002060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color w:val="002060"/>
          <w:sz w:val="24"/>
          <w:szCs w:val="24"/>
          <w:lang w:val="es-AR"/>
        </w:rPr>
        <w:t>Que efectos produce en la persona y en los bienes del fallido la sentencia de quiebra?</w:t>
      </w:r>
    </w:p>
    <w:p w14:paraId="1BAB4816" w14:textId="77777777" w:rsidR="003E088D" w:rsidRDefault="003E088D" w:rsidP="003E088D">
      <w:pPr>
        <w:numPr>
          <w:ilvl w:val="0"/>
          <w:numId w:val="5"/>
        </w:numPr>
        <w:spacing w:after="360" w:line="480" w:lineRule="auto"/>
        <w:jc w:val="both"/>
        <w:textAlignment w:val="baseline"/>
        <w:rPr>
          <w:rFonts w:ascii="Calibri" w:eastAsia="Times New Roman" w:hAnsi="Calibri" w:cs="Calibri"/>
          <w:color w:val="002060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color w:val="002060"/>
          <w:sz w:val="24"/>
          <w:szCs w:val="24"/>
          <w:lang w:val="es-AR"/>
        </w:rPr>
        <w:t>Que puede hacer el deudor  frente a la sentencia de quiebra?</w:t>
      </w:r>
    </w:p>
    <w:p w14:paraId="55254679" w14:textId="0EFEB083" w:rsidR="006723AE" w:rsidRDefault="006723AE" w:rsidP="00646CFB">
      <w:pPr>
        <w:spacing w:after="360" w:line="480" w:lineRule="auto"/>
        <w:jc w:val="both"/>
        <w:textAlignment w:val="baseline"/>
        <w:rPr>
          <w:rFonts w:ascii="Calibri" w:eastAsia="Times New Roman" w:hAnsi="Calibri" w:cs="Calibri"/>
          <w:b/>
          <w:bCs/>
          <w:color w:val="002060"/>
          <w:sz w:val="24"/>
          <w:szCs w:val="24"/>
          <w:lang w:val="es-AR"/>
        </w:rPr>
      </w:pPr>
      <w:r w:rsidRPr="006723AE">
        <w:rPr>
          <w:rFonts w:ascii="Calibri" w:eastAsia="Times New Roman" w:hAnsi="Calibri" w:cs="Calibri"/>
          <w:b/>
          <w:bCs/>
          <w:color w:val="002060"/>
          <w:sz w:val="24"/>
          <w:szCs w:val="24"/>
          <w:lang w:val="es-AR"/>
        </w:rPr>
        <w:t>Respuestas:</w:t>
      </w:r>
    </w:p>
    <w:p w14:paraId="64A42B3A" w14:textId="77777777" w:rsidR="00AF788F" w:rsidRDefault="00646CFB" w:rsidP="00AF788F">
      <w:pPr>
        <w:spacing w:after="360" w:line="480" w:lineRule="auto"/>
        <w:jc w:val="both"/>
        <w:textAlignment w:val="baseline"/>
        <w:rPr>
          <w:rFonts w:ascii="Calibri" w:eastAsia="Times New Roman" w:hAnsi="Calibri" w:cs="Calibri"/>
          <w:b/>
          <w:bCs/>
          <w:color w:val="002060"/>
          <w:sz w:val="24"/>
          <w:szCs w:val="24"/>
          <w:lang w:val="es-AR"/>
        </w:rPr>
      </w:pPr>
      <w:r>
        <w:rPr>
          <w:rFonts w:ascii="Calibri" w:eastAsia="Times New Roman" w:hAnsi="Calibri" w:cs="Calibri"/>
          <w:b/>
          <w:bCs/>
          <w:color w:val="002060"/>
          <w:sz w:val="24"/>
          <w:szCs w:val="24"/>
          <w:lang w:val="es-AR"/>
        </w:rPr>
        <w:t>1)</w:t>
      </w:r>
    </w:p>
    <w:p w14:paraId="6F5425CF" w14:textId="77777777" w:rsidR="00183490" w:rsidRDefault="00955166" w:rsidP="00183490">
      <w:pPr>
        <w:pBdr>
          <w:bottom w:val="single" w:sz="6" w:space="0" w:color="A2A9B1"/>
        </w:pBdr>
        <w:spacing w:after="60"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AR"/>
        </w:rPr>
        <w:t>La quiebra o concurso liquidatario, es un proceso por el cual se liquidan todos los bienes del deudor para hacer frente al cumplimiento de sus obligaciones. </w:t>
      </w:r>
    </w:p>
    <w:p w14:paraId="23CC9CC0" w14:textId="4C2CD780" w:rsidR="00955166" w:rsidRPr="00955166" w:rsidRDefault="00955166" w:rsidP="00955166">
      <w:pPr>
        <w:pBdr>
          <w:bottom w:val="single" w:sz="6" w:space="0" w:color="A2A9B1"/>
        </w:pBdr>
        <w:spacing w:after="6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val="es-AR"/>
        </w:rPr>
        <w:t>2)</w:t>
      </w:r>
    </w:p>
    <w:p w14:paraId="05061E68" w14:textId="2A2D3811" w:rsidR="00624351" w:rsidRDefault="00624351" w:rsidP="00183490">
      <w:pPr>
        <w:spacing w:after="360" w:line="480" w:lineRule="auto"/>
        <w:ind w:left="36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val="es-AR"/>
        </w:rPr>
        <w:t xml:space="preserve">CLASES:  </w:t>
      </w: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 xml:space="preserve">la quiebra puede ser directa o </w:t>
      </w:r>
      <w:r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indirecta</w:t>
      </w:r>
    </w:p>
    <w:p w14:paraId="1786E212" w14:textId="65493E0D" w:rsidR="00624351" w:rsidRDefault="00E02E11" w:rsidP="00183490">
      <w:pPr>
        <w:numPr>
          <w:ilvl w:val="0"/>
          <w:numId w:val="7"/>
        </w:numPr>
        <w:tabs>
          <w:tab w:val="clear" w:pos="720"/>
          <w:tab w:val="num" w:pos="360"/>
        </w:tabs>
        <w:spacing w:after="0" w:line="480" w:lineRule="auto"/>
        <w:ind w:left="108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s-AR"/>
        </w:rPr>
      </w:pPr>
      <w:r>
        <w:rPr>
          <w:rFonts w:ascii="Calibri" w:eastAsia="Times New Roman" w:hAnsi="Calibri" w:cs="Calibri"/>
          <w:b/>
          <w:bCs/>
          <w:color w:val="FF0000"/>
          <w:sz w:val="24"/>
          <w:szCs w:val="24"/>
          <w:u w:val="single"/>
          <w:lang w:val="es-AR"/>
        </w:rPr>
        <w:t>Q</w:t>
      </w:r>
      <w:r w:rsidR="00624351" w:rsidRPr="002942A0">
        <w:rPr>
          <w:rFonts w:ascii="Calibri" w:eastAsia="Times New Roman" w:hAnsi="Calibri" w:cs="Calibri"/>
          <w:b/>
          <w:bCs/>
          <w:color w:val="FF0000"/>
          <w:sz w:val="24"/>
          <w:szCs w:val="24"/>
          <w:u w:val="single"/>
          <w:lang w:val="es-AR"/>
        </w:rPr>
        <w:t>UIEBRA INDIRECTA</w:t>
      </w:r>
      <w:r w:rsidR="00624351"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: es cuando fracasa el concurso preventivo.</w:t>
      </w:r>
    </w:p>
    <w:p w14:paraId="116CB90A" w14:textId="1502A9C0" w:rsidR="00CC1342" w:rsidRPr="002942A0" w:rsidRDefault="00CC1342" w:rsidP="00183490">
      <w:pPr>
        <w:spacing w:line="480" w:lineRule="auto"/>
        <w:ind w:left="1080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val="es-AR"/>
        </w:rPr>
      </w:pPr>
      <w:r w:rsidRPr="002942A0">
        <w:rPr>
          <w:rFonts w:ascii="Calibri" w:eastAsia="Times New Roman" w:hAnsi="Calibri" w:cs="Calibri"/>
          <w:b/>
          <w:bCs/>
          <w:color w:val="FF0000"/>
          <w:sz w:val="24"/>
          <w:szCs w:val="24"/>
          <w:u w:val="single"/>
          <w:lang w:val="es-AR"/>
        </w:rPr>
        <w:t>QUIEBRA DIRECTA</w:t>
      </w:r>
      <w:r w:rsidRPr="002942A0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val="es-AR"/>
        </w:rPr>
        <w:t xml:space="preserve">: </w:t>
      </w:r>
      <w:r w:rsidRPr="002942A0">
        <w:rPr>
          <w:rFonts w:ascii="Calibri" w:eastAsia="Times New Roman" w:hAnsi="Calibri" w:cs="Calibri"/>
          <w:color w:val="000000"/>
          <w:sz w:val="24"/>
          <w:szCs w:val="24"/>
          <w:u w:val="single"/>
          <w:lang w:val="es-AR"/>
        </w:rPr>
        <w:t xml:space="preserve">cuando la quiebra no es originada por el fracaso del concurso preventivo. </w:t>
      </w:r>
    </w:p>
    <w:p w14:paraId="7194ECB2" w14:textId="44CD59AF" w:rsidR="005A6A9B" w:rsidRDefault="00955166">
      <w:pPr>
        <w:pStyle w:val="Ttulo2"/>
      </w:pPr>
      <w:r>
        <w:t>3)</w:t>
      </w:r>
    </w:p>
    <w:p w14:paraId="4F04209C" w14:textId="77777777" w:rsidR="00AE7DE2" w:rsidRPr="002942A0" w:rsidRDefault="00AE7DE2" w:rsidP="00AE7DE2">
      <w:pPr>
        <w:numPr>
          <w:ilvl w:val="0"/>
          <w:numId w:val="9"/>
        </w:numPr>
        <w:spacing w:after="0" w:line="48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el deudor no presenta en termino la propuesta de acuerdo preventivo</w:t>
      </w:r>
    </w:p>
    <w:p w14:paraId="6C63F123" w14:textId="77777777" w:rsidR="00AE7DE2" w:rsidRPr="002942A0" w:rsidRDefault="00AE7DE2" w:rsidP="00AE7DE2">
      <w:pPr>
        <w:numPr>
          <w:ilvl w:val="0"/>
          <w:numId w:val="9"/>
        </w:numPr>
        <w:spacing w:after="0" w:line="480" w:lineRule="auto"/>
        <w:ind w:left="144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si el deudor no obtuvo las conformidades para lograr el acuerdo preventivo.</w:t>
      </w:r>
    </w:p>
    <w:p w14:paraId="5126BE34" w14:textId="77777777" w:rsidR="00AE7DE2" w:rsidRPr="002942A0" w:rsidRDefault="00AE7DE2" w:rsidP="00AE7DE2">
      <w:pPr>
        <w:numPr>
          <w:ilvl w:val="0"/>
          <w:numId w:val="9"/>
        </w:numPr>
        <w:spacing w:after="0" w:line="480" w:lineRule="auto"/>
        <w:ind w:left="144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si el deudor no obtuvo las conformidades de los acreedores privilegiados.</w:t>
      </w:r>
    </w:p>
    <w:p w14:paraId="565BBFB5" w14:textId="77777777" w:rsidR="00AE7DE2" w:rsidRPr="002942A0" w:rsidRDefault="00AE7DE2" w:rsidP="00AE7DE2">
      <w:pPr>
        <w:numPr>
          <w:ilvl w:val="0"/>
          <w:numId w:val="9"/>
        </w:numPr>
        <w:spacing w:after="0" w:line="480" w:lineRule="auto"/>
        <w:ind w:left="144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  Si el juez procede a  la impugnación al acuerdo.</w:t>
      </w:r>
    </w:p>
    <w:p w14:paraId="18D67566" w14:textId="77777777" w:rsidR="00AE7DE2" w:rsidRPr="002942A0" w:rsidRDefault="00AE7DE2" w:rsidP="00AE7DE2">
      <w:pPr>
        <w:numPr>
          <w:ilvl w:val="0"/>
          <w:numId w:val="9"/>
        </w:numPr>
        <w:spacing w:after="0" w:line="480" w:lineRule="auto"/>
        <w:ind w:left="144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Si el concursado no paga los honorarios.</w:t>
      </w:r>
    </w:p>
    <w:p w14:paraId="76627A15" w14:textId="77777777" w:rsidR="00AE7DE2" w:rsidRPr="002942A0" w:rsidRDefault="00AE7DE2" w:rsidP="00AE7DE2">
      <w:pPr>
        <w:numPr>
          <w:ilvl w:val="0"/>
          <w:numId w:val="9"/>
        </w:numPr>
        <w:spacing w:after="0" w:line="480" w:lineRule="auto"/>
        <w:ind w:left="144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Si el juez decreta la nulidad del acuerdo homologado.</w:t>
      </w:r>
    </w:p>
    <w:p w14:paraId="0F2FA89F" w14:textId="77777777" w:rsidR="00183490" w:rsidRDefault="00183490" w:rsidP="00AE7DE2">
      <w:pPr>
        <w:numPr>
          <w:ilvl w:val="0"/>
          <w:numId w:val="9"/>
        </w:numPr>
        <w:spacing w:after="0" w:line="480" w:lineRule="auto"/>
        <w:ind w:left="144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 xml:space="preserve">Si el deudor no cumple ( total o parcialmente )el acuerdo </w:t>
      </w:r>
      <w:r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preventivo</w:t>
      </w:r>
    </w:p>
    <w:p w14:paraId="32649768" w14:textId="03E7C55D" w:rsidR="00183490" w:rsidRDefault="007300F9" w:rsidP="00183490">
      <w:pPr>
        <w:spacing w:after="0" w:line="48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A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AR"/>
        </w:rPr>
        <w:t>4)</w:t>
      </w:r>
    </w:p>
    <w:p w14:paraId="74E6E161" w14:textId="77777777" w:rsidR="005F6CE2" w:rsidRDefault="005F6CE2" w:rsidP="00CF5CC0">
      <w:pPr>
        <w:spacing w:line="480" w:lineRule="auto"/>
        <w:ind w:left="108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s-AR"/>
        </w:rPr>
      </w:pPr>
      <w:r w:rsidRPr="005F6CE2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puede ser solicitada a pedido del deudor (quiebra directa voluntaria) o de una acreedor (quiebra indirecta necesaria).</w:t>
      </w:r>
    </w:p>
    <w:p w14:paraId="5F394FAA" w14:textId="2C57F165" w:rsidR="00095A8A" w:rsidRDefault="00095A8A" w:rsidP="00095A8A">
      <w:pPr>
        <w:spacing w:line="48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A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AR"/>
        </w:rPr>
        <w:t>5)</w:t>
      </w:r>
    </w:p>
    <w:p w14:paraId="455D0D63" w14:textId="349FD12B" w:rsidR="003532D4" w:rsidRPr="003532D4" w:rsidRDefault="003532D4" w:rsidP="003532D4">
      <w:pPr>
        <w:spacing w:line="480" w:lineRule="auto"/>
        <w:ind w:left="72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s-A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s-AR"/>
        </w:rPr>
        <w:t xml:space="preserve">Si la quiebra es pedida por el acreedor </w:t>
      </w:r>
      <w:r w:rsidR="00657F2E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 xml:space="preserve">debe probar sumariamente su crédito, los hechos reveladores </w:t>
      </w:r>
      <w:r w:rsidR="009C3A68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 xml:space="preserve">de la </w:t>
      </w:r>
      <w:proofErr w:type="spellStart"/>
      <w:r w:rsidR="009C3A68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cesacion</w:t>
      </w:r>
      <w:proofErr w:type="spellEnd"/>
      <w:r w:rsidR="009C3A68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 xml:space="preserve"> de pagos</w:t>
      </w:r>
      <w:r w:rsidR="00FD5F4D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 xml:space="preserve"> y que el deudor está comprendido en el artículo 2</w:t>
      </w:r>
    </w:p>
    <w:p w14:paraId="4E73309B" w14:textId="45E3CD85" w:rsidR="00BC329F" w:rsidRDefault="00BC329F" w:rsidP="00095A8A">
      <w:pPr>
        <w:spacing w:line="48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A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AR"/>
        </w:rPr>
        <w:t>6)</w:t>
      </w:r>
    </w:p>
    <w:p w14:paraId="2611925B" w14:textId="77777777" w:rsidR="00BC329F" w:rsidRPr="002942A0" w:rsidRDefault="00BC329F" w:rsidP="00BC329F">
      <w:pPr>
        <w:numPr>
          <w:ilvl w:val="0"/>
          <w:numId w:val="10"/>
        </w:numPr>
        <w:spacing w:after="0" w:line="480" w:lineRule="auto"/>
        <w:ind w:left="144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val="es-AR"/>
        </w:rPr>
        <w:t>INHABILITACION DEL FALLIDO</w:t>
      </w:r>
      <w:r w:rsidRPr="002942A0"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AR"/>
        </w:rPr>
        <w:t xml:space="preserve">: </w:t>
      </w: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queda imposibilitado para ejercer el comercio, integrar sociedades y para ser apoderado, administrador gerente, sindico, liquidador o fundador de sociedades, mutuales y fundaciones.  </w:t>
      </w:r>
    </w:p>
    <w:p w14:paraId="0B286722" w14:textId="77777777" w:rsidR="00BC329F" w:rsidRPr="002942A0" w:rsidRDefault="00BC329F" w:rsidP="00BC329F">
      <w:pPr>
        <w:numPr>
          <w:ilvl w:val="0"/>
          <w:numId w:val="11"/>
        </w:numPr>
        <w:spacing w:after="0" w:line="480" w:lineRule="auto"/>
        <w:ind w:left="216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AR"/>
        </w:rPr>
        <w:t>Persona Física</w:t>
      </w: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: inhabilitación por un año a partir de la sentencia de quiebra. </w:t>
      </w:r>
    </w:p>
    <w:p w14:paraId="28092E10" w14:textId="77777777" w:rsidR="00BC329F" w:rsidRPr="002942A0" w:rsidRDefault="00BC329F" w:rsidP="00BC329F">
      <w:pPr>
        <w:numPr>
          <w:ilvl w:val="0"/>
          <w:numId w:val="11"/>
        </w:numPr>
        <w:spacing w:after="0" w:line="240" w:lineRule="auto"/>
        <w:ind w:left="216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s-AR"/>
        </w:rPr>
      </w:pPr>
      <w:r w:rsidRPr="002942A0"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AR"/>
        </w:rPr>
        <w:t>Persona jurídica</w:t>
      </w:r>
      <w:r w:rsidRPr="002942A0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: inhabilitación definitiva a partir de la sentencia de quiebra. </w:t>
      </w:r>
    </w:p>
    <w:p w14:paraId="533F9FF4" w14:textId="57197A29" w:rsidR="00BC329F" w:rsidRDefault="00BC329F" w:rsidP="00095A8A">
      <w:pPr>
        <w:spacing w:line="48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A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AR"/>
        </w:rPr>
        <w:t>7)</w:t>
      </w:r>
    </w:p>
    <w:p w14:paraId="255FDE1A" w14:textId="79782AFA" w:rsidR="00095A8A" w:rsidRPr="00A1605B" w:rsidRDefault="00A66175" w:rsidP="00A1605B">
      <w:pPr>
        <w:spacing w:line="480" w:lineRule="auto"/>
        <w:ind w:left="72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s-A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s-AR"/>
        </w:rPr>
        <w:t xml:space="preserve">El deudor debe probar que no estaba en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cesacion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val="es-AR"/>
        </w:rPr>
        <w:t xml:space="preserve"> de pagos al momento en que se decreto la quiebra,</w:t>
      </w:r>
      <w:r w:rsidR="007C24D3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 xml:space="preserve"> es decir, debe demostrar </w:t>
      </w:r>
      <w:r w:rsidR="00A1605B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h</w:t>
      </w:r>
      <w:r w:rsidR="007C24D3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 xml:space="preserve">echos anteriores al decreto que desvirtúen la presunción de su estado de </w:t>
      </w:r>
      <w:proofErr w:type="spellStart"/>
      <w:r w:rsidR="007C24D3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>cesacion</w:t>
      </w:r>
      <w:proofErr w:type="spellEnd"/>
      <w:r w:rsidR="007C24D3">
        <w:rPr>
          <w:rFonts w:ascii="Calibri" w:eastAsia="Times New Roman" w:hAnsi="Calibri" w:cs="Calibri"/>
          <w:color w:val="000000"/>
          <w:sz w:val="24"/>
          <w:szCs w:val="24"/>
          <w:lang w:val="es-AR"/>
        </w:rPr>
        <w:t xml:space="preserve"> de pagos</w:t>
      </w:r>
    </w:p>
    <w:p w14:paraId="569E5FF3" w14:textId="77777777" w:rsidR="00E02E11" w:rsidRPr="00E02E11" w:rsidRDefault="00E02E11" w:rsidP="0096760D">
      <w:pPr>
        <w:ind w:left="720"/>
      </w:pPr>
    </w:p>
    <w:sectPr w:rsidR="00E02E11" w:rsidRPr="00E02E11">
      <w:footerReference w:type="default" r:id="rId7"/>
      <w:pgSz w:w="11907" w:h="16839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D30D0" w14:textId="77777777" w:rsidR="00B70E53" w:rsidRDefault="00B70E53">
      <w:r>
        <w:separator/>
      </w:r>
    </w:p>
    <w:p w14:paraId="1B76A4D5" w14:textId="77777777" w:rsidR="00B70E53" w:rsidRDefault="00B70E53"/>
  </w:endnote>
  <w:endnote w:type="continuationSeparator" w:id="0">
    <w:p w14:paraId="21789A89" w14:textId="77777777" w:rsidR="00B70E53" w:rsidRDefault="00B70E53">
      <w:r>
        <w:continuationSeparator/>
      </w:r>
    </w:p>
    <w:p w14:paraId="2ACD4EF7" w14:textId="77777777" w:rsidR="00B70E53" w:rsidRDefault="00B70E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EF234C" w14:textId="77777777" w:rsidR="005A6A9B" w:rsidRDefault="00B052CE">
        <w:pPr>
          <w:pStyle w:val="Piedepgin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E0BF1" w14:textId="77777777" w:rsidR="00B70E53" w:rsidRDefault="00B70E53">
      <w:r>
        <w:separator/>
      </w:r>
    </w:p>
    <w:p w14:paraId="408CFC9C" w14:textId="77777777" w:rsidR="00B70E53" w:rsidRDefault="00B70E53"/>
  </w:footnote>
  <w:footnote w:type="continuationSeparator" w:id="0">
    <w:p w14:paraId="1FDA2A51" w14:textId="77777777" w:rsidR="00B70E53" w:rsidRDefault="00B70E53">
      <w:r>
        <w:continuationSeparator/>
      </w:r>
    </w:p>
    <w:p w14:paraId="0F962C63" w14:textId="77777777" w:rsidR="00B70E53" w:rsidRDefault="00B70E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8C52BD"/>
    <w:multiLevelType w:val="multilevel"/>
    <w:tmpl w:val="A310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ED1AF7"/>
    <w:multiLevelType w:val="multilevel"/>
    <w:tmpl w:val="6840F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D86507"/>
    <w:multiLevelType w:val="multilevel"/>
    <w:tmpl w:val="24EE0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906CDF"/>
    <w:multiLevelType w:val="hybridMultilevel"/>
    <w:tmpl w:val="9E244A1C"/>
    <w:lvl w:ilvl="0" w:tplc="A78AD9E8">
      <w:start w:val="1"/>
      <w:numFmt w:val="bullet"/>
      <w:pStyle w:val="Listaconvietas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82DCB"/>
    <w:multiLevelType w:val="multilevel"/>
    <w:tmpl w:val="11EE3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E472AE"/>
    <w:multiLevelType w:val="multilevel"/>
    <w:tmpl w:val="C1685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7052E5"/>
    <w:multiLevelType w:val="multilevel"/>
    <w:tmpl w:val="9EB0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AB4355"/>
    <w:multiLevelType w:val="hybridMultilevel"/>
    <w:tmpl w:val="0B203272"/>
    <w:lvl w:ilvl="0" w:tplc="CE0E85FE">
      <w:start w:val="1"/>
      <w:numFmt w:val="decimal"/>
      <w:pStyle w:val="Listaconnmeros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622CF"/>
    <w:multiLevelType w:val="multilevel"/>
    <w:tmpl w:val="6840F2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9"/>
  </w:num>
  <w:num w:numId="5">
    <w:abstractNumId w:val="7"/>
  </w:num>
  <w:num w:numId="6">
    <w:abstractNumId w:val="4"/>
  </w:num>
  <w:num w:numId="7">
    <w:abstractNumId w:val="3"/>
  </w:num>
  <w:num w:numId="8">
    <w:abstractNumId w:val="8"/>
  </w:num>
  <w:num w:numId="9">
    <w:abstractNumId w:val="1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attachedTemplate r:id="rId1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C80"/>
    <w:rsid w:val="00095A8A"/>
    <w:rsid w:val="000A1E95"/>
    <w:rsid w:val="00106A32"/>
    <w:rsid w:val="00183490"/>
    <w:rsid w:val="003532D4"/>
    <w:rsid w:val="003E088D"/>
    <w:rsid w:val="005A6A9B"/>
    <w:rsid w:val="005F6CE2"/>
    <w:rsid w:val="00624351"/>
    <w:rsid w:val="00646CFB"/>
    <w:rsid w:val="00657F2E"/>
    <w:rsid w:val="00667B9A"/>
    <w:rsid w:val="006723AE"/>
    <w:rsid w:val="007300F9"/>
    <w:rsid w:val="007C24D3"/>
    <w:rsid w:val="00955166"/>
    <w:rsid w:val="0096760D"/>
    <w:rsid w:val="009C3A68"/>
    <w:rsid w:val="00A1605B"/>
    <w:rsid w:val="00A610E4"/>
    <w:rsid w:val="00A66175"/>
    <w:rsid w:val="00AE7DE2"/>
    <w:rsid w:val="00AF788F"/>
    <w:rsid w:val="00B052CE"/>
    <w:rsid w:val="00B70E53"/>
    <w:rsid w:val="00BC329F"/>
    <w:rsid w:val="00CC1342"/>
    <w:rsid w:val="00D80C80"/>
    <w:rsid w:val="00E02E11"/>
    <w:rsid w:val="00E4183A"/>
    <w:rsid w:val="00F24413"/>
    <w:rsid w:val="00F557E2"/>
    <w:rsid w:val="00FB67EB"/>
    <w:rsid w:val="00FD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2FD63"/>
  <w15:chartTrackingRefBased/>
  <w15:docId w15:val="{DD734F67-3D5D-E848-ABD0-ABC2363D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E95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Normal"/>
    <w:uiPriority w:val="9"/>
    <w:qFormat/>
    <w:pPr>
      <w:numPr>
        <w:numId w:val="3"/>
      </w:numPr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aconnmeros">
    <w:name w:val="List Number"/>
    <w:basedOn w:val="Normal"/>
    <w:uiPriority w:val="9"/>
    <w:qFormat/>
    <w:pPr>
      <w:numPr>
        <w:numId w:val="4"/>
      </w:numPr>
    </w:pPr>
  </w:style>
  <w:style w:type="paragraph" w:styleId="Encabezado">
    <w:name w:val="header"/>
    <w:basedOn w:val="Normal"/>
    <w:link w:val="EncabezadoCar"/>
    <w:uiPriority w:val="99"/>
    <w:unhideWhenUsed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Ttulo">
    <w:name w:val="Title"/>
    <w:basedOn w:val="Normal"/>
    <w:link w:val="TtuloC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tulo">
    <w:name w:val="Subtitle"/>
    <w:basedOn w:val="Normal"/>
    <w:link w:val="SubttuloC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eastAsiaTheme="minorEastAsia"/>
      <w:caps/>
      <w:sz w:val="4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Ttulodellibro">
    <w:name w:val="Book Title"/>
    <w:basedOn w:val="Fuentedeprrafopredeter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nfasissutil">
    <w:name w:val="Subtle Emphasis"/>
    <w:basedOn w:val="Fuentedeprrafopredeter"/>
    <w:uiPriority w:val="19"/>
    <w:semiHidden/>
    <w:unhideWhenUsed/>
    <w:qFormat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semiHidden/>
    <w:unhideWhenUsed/>
    <w:qFormat/>
    <w:rPr>
      <w:b/>
      <w:iCs/>
      <w:color w:val="262626" w:themeColor="text1" w:themeTint="D9"/>
    </w:rPr>
  </w:style>
  <w:style w:type="character" w:styleId="nfasisintenso">
    <w:name w:val="Intense Emphasis"/>
    <w:basedOn w:val="Fuentedeprrafopredeter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Textoennegrita">
    <w:name w:val="Strong"/>
    <w:basedOn w:val="Fuentedeprrafopredeter"/>
    <w:uiPriority w:val="22"/>
    <w:semiHidden/>
    <w:unhideWhenUsed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CitaCar">
    <w:name w:val="Cita Car"/>
    <w:basedOn w:val="Fuentedeprrafopredeter"/>
    <w:link w:val="Cita"/>
    <w:uiPriority w:val="29"/>
    <w:semiHidden/>
    <w:rPr>
      <w:i/>
      <w:iCs/>
      <w:sz w:val="36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i/>
      <w:iCs/>
      <w:sz w:val="36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character" w:styleId="Hipervnculo">
    <w:name w:val="Hyperlink"/>
    <w:basedOn w:val="Fuentedeprrafopredeter"/>
    <w:uiPriority w:val="99"/>
    <w:unhideWhenUsed/>
    <w:rPr>
      <w:color w:val="731C3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2FADED54-5D67-4F49-AE4B-C0C6B2651E41%7dtf50002051.dotx" TargetMode="External" 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%7b2FADED54-5D67-4F49-AE4B-C0C6B2651E41%7dtf50002051.dotx</Template>
  <TotalTime>0</TotalTime>
  <Pages>1</Pages>
  <Words>320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Ramiro Gomez</dc:creator>
  <cp:keywords/>
  <dc:description/>
  <cp:lastModifiedBy>Ramiro Gomez</cp:lastModifiedBy>
  <cp:revision>2</cp:revision>
  <dcterms:created xsi:type="dcterms:W3CDTF">2022-03-08T10:59:00Z</dcterms:created>
  <dcterms:modified xsi:type="dcterms:W3CDTF">2022-03-08T10:59:00Z</dcterms:modified>
</cp:coreProperties>
</file>