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40" w:rsidRDefault="00B92940" w:rsidP="00B92940">
      <w:pPr>
        <w:pStyle w:val="Encabezado"/>
        <w:spacing w:line="276" w:lineRule="auto"/>
        <w:jc w:val="center"/>
        <w:rPr>
          <w:rFonts w:asciiTheme="majorHAnsi" w:hAnsiTheme="majorHAnsi" w:cstheme="majorHAnsi"/>
          <w:b/>
          <w:bCs/>
          <w:i/>
          <w:sz w:val="24"/>
          <w:szCs w:val="24"/>
          <w:u w:val="single"/>
          <w:lang w:val="es-MX"/>
        </w:rPr>
      </w:pPr>
      <w:r>
        <w:rPr>
          <w:noProof/>
        </w:rPr>
        <w:drawing>
          <wp:anchor distT="0" distB="0" distL="114300" distR="114300" simplePos="0" relativeHeight="251659264" behindDoc="0" locked="0" layoutInCell="1" allowOverlap="1">
            <wp:simplePos x="0" y="0"/>
            <wp:positionH relativeFrom="column">
              <wp:posOffset>3882390</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bCs/>
          <w:i/>
          <w:sz w:val="24"/>
          <w:szCs w:val="24"/>
          <w:u w:val="single"/>
          <w:lang w:val="es-MX"/>
        </w:rPr>
        <w:t>COLEGIO: SAN JOSÉ</w:t>
      </w:r>
    </w:p>
    <w:p w:rsidR="00B92940" w:rsidRDefault="00B92940" w:rsidP="00B92940">
      <w:pPr>
        <w:pStyle w:val="Encabezado"/>
        <w:spacing w:line="276" w:lineRule="auto"/>
        <w:jc w:val="center"/>
        <w:rPr>
          <w:rFonts w:asciiTheme="majorHAnsi" w:hAnsiTheme="majorHAnsi" w:cstheme="majorHAnsi"/>
          <w:b/>
          <w:bCs/>
          <w:i/>
          <w:sz w:val="24"/>
          <w:szCs w:val="24"/>
          <w:u w:val="single"/>
          <w:lang w:val="es-MX"/>
        </w:rPr>
      </w:pPr>
    </w:p>
    <w:p w:rsidR="00B92940" w:rsidRDefault="00B92940" w:rsidP="00B92940">
      <w:pPr>
        <w:pStyle w:val="Encabezado"/>
        <w:spacing w:line="360" w:lineRule="auto"/>
        <w:jc w:val="both"/>
        <w:rPr>
          <w:rFonts w:asciiTheme="majorHAnsi" w:hAnsiTheme="majorHAnsi" w:cstheme="majorHAnsi"/>
          <w:b/>
          <w:bCs/>
          <w:i/>
          <w:sz w:val="24"/>
          <w:szCs w:val="24"/>
          <w:lang w:val="es-MX"/>
        </w:rPr>
      </w:pPr>
      <w:r>
        <w:rPr>
          <w:rFonts w:asciiTheme="majorHAnsi" w:hAnsiTheme="majorHAnsi" w:cstheme="majorHAnsi"/>
          <w:bCs/>
          <w:sz w:val="24"/>
          <w:szCs w:val="24"/>
          <w:lang w:val="es-MX"/>
        </w:rPr>
        <w:t>MATERIA: DERECHO COMERCIAL</w:t>
      </w:r>
    </w:p>
    <w:p w:rsidR="00B92940" w:rsidRDefault="00B92940" w:rsidP="00B92940">
      <w:pPr>
        <w:pStyle w:val="Encabezado"/>
        <w:spacing w:line="360" w:lineRule="auto"/>
        <w:jc w:val="both"/>
        <w:rPr>
          <w:rFonts w:asciiTheme="majorHAnsi" w:hAnsiTheme="majorHAnsi" w:cstheme="majorHAnsi"/>
          <w:bCs/>
          <w:sz w:val="24"/>
          <w:szCs w:val="24"/>
          <w:lang w:val="es-MX"/>
        </w:rPr>
      </w:pPr>
      <w:r>
        <w:rPr>
          <w:rFonts w:asciiTheme="majorHAnsi" w:hAnsiTheme="majorHAnsi" w:cstheme="majorHAnsi"/>
          <w:bCs/>
          <w:sz w:val="24"/>
          <w:szCs w:val="24"/>
          <w:lang w:val="es-MX"/>
        </w:rPr>
        <w:t>Curso: QUINTO     División: ECONOMIA</w:t>
      </w:r>
    </w:p>
    <w:p w:rsidR="00B92940" w:rsidRDefault="00B92940" w:rsidP="00B92940">
      <w:pPr>
        <w:pStyle w:val="Encabezado"/>
        <w:spacing w:line="360" w:lineRule="auto"/>
        <w:jc w:val="both"/>
        <w:rPr>
          <w:rFonts w:asciiTheme="majorHAnsi" w:hAnsiTheme="majorHAnsi" w:cstheme="majorHAnsi"/>
          <w:bCs/>
          <w:sz w:val="24"/>
          <w:szCs w:val="24"/>
          <w:lang w:val="es-MX"/>
        </w:rPr>
      </w:pPr>
      <w:r>
        <w:rPr>
          <w:rFonts w:asciiTheme="majorHAnsi" w:hAnsiTheme="majorHAnsi" w:cstheme="majorHAnsi"/>
          <w:bCs/>
          <w:sz w:val="24"/>
          <w:szCs w:val="24"/>
          <w:lang w:val="es-MX"/>
        </w:rPr>
        <w:t>Docente: PATRICIA ANAHI POBLETE</w:t>
      </w:r>
    </w:p>
    <w:p w:rsidR="008E2831" w:rsidRPr="00E12B61" w:rsidRDefault="00B92940" w:rsidP="008E2831">
      <w:pPr>
        <w:spacing w:after="0" w:line="480" w:lineRule="auto"/>
        <w:jc w:val="both"/>
        <w:rPr>
          <w:rFonts w:ascii="Cambria Math" w:eastAsia="Times New Roman" w:hAnsi="Cambria Math" w:cs="Times New Roman"/>
          <w:caps/>
          <w:color w:val="000000"/>
          <w:spacing w:val="-8"/>
          <w:sz w:val="24"/>
          <w:szCs w:val="24"/>
          <w:u w:val="single"/>
          <w:lang w:val="es-AR"/>
        </w:rPr>
      </w:pPr>
      <w:r>
        <w:rPr>
          <w:rFonts w:asciiTheme="majorHAnsi" w:hAnsiTheme="majorHAnsi" w:cstheme="majorHAnsi"/>
          <w:bCs/>
          <w:sz w:val="24"/>
          <w:szCs w:val="24"/>
          <w:lang w:val="es-MX"/>
        </w:rPr>
        <w:t>Contenido: “</w:t>
      </w:r>
      <w:r w:rsidR="008E2831" w:rsidRPr="00E12B61">
        <w:rPr>
          <w:rFonts w:ascii="Cambria Math" w:eastAsia="Times New Roman" w:hAnsi="Cambria Math" w:cs="Calibri"/>
          <w:b/>
          <w:bCs/>
          <w:caps/>
          <w:color w:val="000000"/>
          <w:spacing w:val="-8"/>
          <w:sz w:val="24"/>
          <w:szCs w:val="24"/>
          <w:u w:val="single"/>
          <w:lang w:val="es-AR"/>
        </w:rPr>
        <w:t>OBLIGACIONES Y DERECHOS COMUNES A LOS COMERCIANTES</w:t>
      </w:r>
      <w:r w:rsidR="008E2831">
        <w:rPr>
          <w:rFonts w:ascii="Cambria Math" w:eastAsia="Times New Roman" w:hAnsi="Cambria Math" w:cs="Calibri"/>
          <w:b/>
          <w:bCs/>
          <w:caps/>
          <w:color w:val="000000"/>
          <w:spacing w:val="-8"/>
          <w:sz w:val="24"/>
          <w:szCs w:val="24"/>
          <w:u w:val="single"/>
          <w:lang w:val="es-AR"/>
        </w:rPr>
        <w:t xml:space="preserve"> – FONDO DE COMERCIO”</w:t>
      </w:r>
    </w:p>
    <w:p w:rsidR="00B92940" w:rsidRDefault="00B92940" w:rsidP="00B92940">
      <w:pPr>
        <w:spacing w:after="0" w:line="480" w:lineRule="auto"/>
        <w:jc w:val="both"/>
        <w:rPr>
          <w:rFonts w:asciiTheme="majorHAnsi" w:eastAsia="Times New Roman" w:hAnsiTheme="majorHAnsi" w:cstheme="majorHAnsi"/>
          <w:caps/>
          <w:color w:val="000000"/>
          <w:spacing w:val="-8"/>
          <w:sz w:val="24"/>
          <w:szCs w:val="24"/>
          <w:lang w:val="es-AR"/>
        </w:rPr>
      </w:pPr>
      <w:r>
        <w:rPr>
          <w:rFonts w:asciiTheme="majorHAnsi" w:eastAsia="Times New Roman" w:hAnsiTheme="majorHAnsi" w:cstheme="majorHAnsi"/>
          <w:b/>
          <w:bCs/>
          <w:caps/>
          <w:color w:val="000000"/>
          <w:spacing w:val="-8"/>
          <w:sz w:val="24"/>
          <w:szCs w:val="24"/>
          <w:lang w:val="es-AR"/>
        </w:rPr>
        <w:t>GUIA n° 2:</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FF"/>
          <w:spacing w:val="-8"/>
          <w:sz w:val="24"/>
          <w:szCs w:val="24"/>
          <w:lang w:val="es-ES"/>
        </w:rPr>
        <w:t>1-Obligaciones comunes a los comerciantes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 xml:space="preserve">a) En 1er lugar, hay que decir que el cumplimiento de una obligación puede ser reclamado en forma coercitiva, mientras que el deber configura una norma de conducta que debe realizar la persona cuyo cumplimiento no puede ser reclamado en forma coercitiva y es por eso </w:t>
      </w:r>
      <w:proofErr w:type="gramStart"/>
      <w:r w:rsidRPr="003B0049">
        <w:rPr>
          <w:rFonts w:ascii="Cambria Math" w:eastAsia="Times New Roman" w:hAnsi="Cambria Math" w:cs="Calibri"/>
          <w:color w:val="000000"/>
          <w:spacing w:val="-8"/>
          <w:sz w:val="24"/>
          <w:szCs w:val="24"/>
          <w:lang w:val="es-ES"/>
        </w:rPr>
        <w:t>que</w:t>
      </w:r>
      <w:proofErr w:type="gramEnd"/>
      <w:r w:rsidRPr="003B0049">
        <w:rPr>
          <w:rFonts w:ascii="Cambria Math" w:eastAsia="Times New Roman" w:hAnsi="Cambria Math" w:cs="Calibri"/>
          <w:color w:val="000000"/>
          <w:spacing w:val="-8"/>
          <w:sz w:val="24"/>
          <w:szCs w:val="24"/>
          <w:lang w:val="es-ES"/>
        </w:rPr>
        <w:t xml:space="preserve"> si bien el Código alude a las obligaciones comunes a los comerciantes, en realidad debería haber aludido a los deberes comunes a los comerciantes, puesto que solamente constituye una verdadera obligación, la de rendir cuentas</w:t>
      </w:r>
      <w:r>
        <w:rPr>
          <w:rFonts w:ascii="Cambria Math" w:eastAsia="Times New Roman" w:hAnsi="Cambria Math" w:cs="Calibri"/>
          <w:color w:val="000000"/>
          <w:spacing w:val="-8"/>
          <w:sz w:val="24"/>
          <w:szCs w:val="24"/>
          <w:lang w:val="es-ES"/>
        </w:rPr>
        <w:t>.</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En 2do lugar, hay que decir que el Código establece una serie de deberes comunes a los comerciantes, lo cual no excluye que existan ciertos deberes específicos para determinadas categorías de comerciantes, establecidos por el mismo Código y por leyes especiales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 xml:space="preserve">obligaciones concretas comunes a los comerciantes </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Registro Público de Comercio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Teneduría de libros y orden de contabilidad</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 Conservación de la correspondencia y de los libros de contabilidad</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d) Rendición de cuentas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lastRenderedPageBreak/>
        <w:t>2-Registro Público de Comercio: concepto: </w:t>
      </w:r>
      <w:r w:rsidRPr="003B0049">
        <w:rPr>
          <w:rFonts w:ascii="Cambria Math" w:eastAsia="Times New Roman" w:hAnsi="Cambria Math" w:cs="Calibri"/>
          <w:color w:val="000000"/>
          <w:spacing w:val="-8"/>
          <w:sz w:val="24"/>
          <w:szCs w:val="24"/>
          <w:lang w:val="es-ES"/>
        </w:rPr>
        <w:t>El Registro Público es una oficina del Estado inserta en el Poder Judicial encargada de llevar la matrícula de los comerciantes y de inscribir los documentos cuya publicidad es exigida por la ley mercantil:</w:t>
      </w:r>
    </w:p>
    <w:p w:rsidR="00304137" w:rsidRPr="003B0049" w:rsidRDefault="00304137" w:rsidP="00304137">
      <w:pPr>
        <w:numPr>
          <w:ilvl w:val="1"/>
          <w:numId w:val="1"/>
        </w:num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El Registro Público de Comercio tiene por finalidad garantizar la buena fe en el tráfico mercantil, dando publicidad obligatoria a determinados hechos que la ley considera importantes para alcanzar dicha finalidad, y son, precisamente, aquellos que hacen a las condiciones de seriedad, solvencia y solidez del comerciante</w:t>
      </w:r>
    </w:p>
    <w:p w:rsidR="00304137" w:rsidRPr="003B0049" w:rsidRDefault="00304137" w:rsidP="00304137">
      <w:pPr>
        <w:numPr>
          <w:ilvl w:val="1"/>
          <w:numId w:val="1"/>
        </w:num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El Registro Público de Comercio es público en el sentido que cualquiera tiene derecho a pedir la información que en él se encuentra y a su vez el Registro tiene la obligación de entregarla</w:t>
      </w:r>
    </w:p>
    <w:p w:rsidR="00304137" w:rsidRPr="003B0049" w:rsidRDefault="00304137" w:rsidP="00EC1EEA">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La exactitud de los asientos alude al cotejo del documento con la anotación, verificando que no haya diferencias</w:t>
      </w:r>
    </w:p>
    <w:p w:rsidR="00304137" w:rsidRPr="003B0049" w:rsidRDefault="00304137" w:rsidP="00EC1EEA">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La legalidad de los asientos alude a que sólo deben permitirse las inscripciones determinadas por la ley, puesto que son las que ésta considera jurídicamente importantes, y a que se observen otros requisitos formales, tales como la propia competencia del Registro, pero el examen de legalidad no alcanza al contralor de la veracidad de las declaraciones expresadas por los que solicitan la inscripción</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Funciones: </w:t>
      </w:r>
      <w:r w:rsidRPr="003B0049">
        <w:rPr>
          <w:rFonts w:ascii="Cambria Math" w:eastAsia="Times New Roman" w:hAnsi="Cambria Math" w:cs="Calibri"/>
          <w:color w:val="000000"/>
          <w:spacing w:val="-8"/>
          <w:sz w:val="24"/>
          <w:szCs w:val="24"/>
          <w:lang w:val="es-ES"/>
        </w:rPr>
        <w:t xml:space="preserve">El Registro Público </w:t>
      </w:r>
      <w:r w:rsidR="00EC1EEA">
        <w:rPr>
          <w:rFonts w:ascii="Cambria Math" w:eastAsia="Times New Roman" w:hAnsi="Cambria Math" w:cs="Calibri"/>
          <w:color w:val="000000"/>
          <w:spacing w:val="-8"/>
          <w:sz w:val="24"/>
          <w:szCs w:val="24"/>
          <w:lang w:val="es-ES"/>
        </w:rPr>
        <w:t xml:space="preserve">se </w:t>
      </w:r>
      <w:r w:rsidRPr="003B0049">
        <w:rPr>
          <w:rFonts w:ascii="Cambria Math" w:eastAsia="Times New Roman" w:hAnsi="Cambria Math" w:cs="Calibri"/>
          <w:color w:val="000000"/>
          <w:spacing w:val="-8"/>
          <w:sz w:val="24"/>
          <w:szCs w:val="24"/>
          <w:lang w:val="es-ES"/>
        </w:rPr>
        <w:t>compone de 2 secciones: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La matrícula de los comerciantes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El registro de los documentos que ellos deben inscribir</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lastRenderedPageBreak/>
        <w:t>Formalidades relativas a la inscripción: </w:t>
      </w:r>
      <w:r w:rsidRPr="003B0049">
        <w:rPr>
          <w:rFonts w:ascii="Cambria Math" w:eastAsia="Times New Roman" w:hAnsi="Cambria Math" w:cs="Calibri"/>
          <w:color w:val="000000"/>
          <w:spacing w:val="-8"/>
          <w:sz w:val="24"/>
          <w:szCs w:val="24"/>
          <w:lang w:val="es-ES"/>
        </w:rPr>
        <w:t>El interesado debe presentar al Registro una solicitud que contenga los siguientes datos:</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1) El nombre, el estado civil y la nacionalidad del comerciante</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2) La designación de la clase de negocios que constituirán el objeto de la explotación mercantil</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3) El lugar o domicilio del establecimiento o escritorio y si hay más de un establecimiento o escritorio el lugar o domicilio de todos ellos</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4) El nombre del gerente, factor o empleado que ponga a la cabeza del establecimiento</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5) Y, si cambia alguno de estos datos, dicho cambio debe ser inscripto nuevamente con las mismas solemnidades y resultados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Documentos que deben inscribirse: </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1) Las convenciones matrimoniales que se otorguen por los comerciantes o que tengan otorgadas al tiempo de dedicarse al comercio, las escrituras que se otorguen en caso de restitución de dote, y los títulos de adquisición de bienes dotales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2) Las sentencias de divorcio o de separación de bienes y las liquidaciones practicadas para determinar las especies o cantidades que el marido debe entregar a su mujer divorciada o separada de bienes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 xml:space="preserve">3) Las escrituras de sociedad mercantil, sea cual fuere su objeto, con excepción de las sociedades en participación, aclarando </w:t>
      </w:r>
      <w:proofErr w:type="gramStart"/>
      <w:r w:rsidRPr="003B0049">
        <w:rPr>
          <w:rFonts w:ascii="Cambria Math" w:eastAsia="Times New Roman" w:hAnsi="Cambria Math" w:cs="Calibri"/>
          <w:color w:val="000000"/>
          <w:spacing w:val="-8"/>
          <w:sz w:val="24"/>
          <w:szCs w:val="24"/>
          <w:lang w:val="es-ES"/>
        </w:rPr>
        <w:t>que</w:t>
      </w:r>
      <w:proofErr w:type="gramEnd"/>
      <w:r w:rsidRPr="003B0049">
        <w:rPr>
          <w:rFonts w:ascii="Cambria Math" w:eastAsia="Times New Roman" w:hAnsi="Cambria Math" w:cs="Calibri"/>
          <w:color w:val="000000"/>
          <w:spacing w:val="-8"/>
          <w:sz w:val="24"/>
          <w:szCs w:val="24"/>
          <w:lang w:val="es-ES"/>
        </w:rPr>
        <w:t xml:space="preserve"> si bien apunta al contrato de sociedad constitutivo, hay otros actos que deben ser inscriptos, conforme a lo establecido por la ley 19.550, tales como las transformaciones, las fusiones, las disoluciones o las prórrogas de sociedades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4) Los poderes que otorguen los comerciantes a sus factores o dependientes para dirigir o administrar sus negocios mercantiles, y las revocaciones de ellos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5) Las autorizaciones para comerciar otorgadas a los incapaces y sus correspondientes revocaciones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Efecto declarativo y efecto constitutivo: </w:t>
      </w:r>
      <w:r w:rsidRPr="003B0049">
        <w:rPr>
          <w:rFonts w:ascii="Cambria Math" w:eastAsia="Times New Roman" w:hAnsi="Cambria Math" w:cs="Calibri"/>
          <w:color w:val="000000"/>
          <w:spacing w:val="-8"/>
          <w:sz w:val="24"/>
          <w:szCs w:val="24"/>
          <w:lang w:val="es-ES"/>
        </w:rPr>
        <w:t>Como regla general, las inscripciones tienen un valor meramente declarativo, puesto que sólo tienen por finalidad </w:t>
      </w:r>
      <w:r w:rsidRPr="003B0049">
        <w:rPr>
          <w:rFonts w:ascii="Cambria Math" w:eastAsia="Times New Roman" w:hAnsi="Cambria Math" w:cs="Calibri"/>
          <w:color w:val="000000"/>
          <w:spacing w:val="-8"/>
          <w:sz w:val="24"/>
          <w:szCs w:val="24"/>
          <w:lang w:val="es-AR"/>
        </w:rPr>
        <w:t>dar publicidad a un determinado hecho sin hacer nacer ningún derecho para el que realiza la inscripción. Sin embargo, excepcionalmente existen inscripciones que tienen un valor constitutivo, puesto que la misma constituye un requisito esencial para que nazca un derecho, como es el caso de las sociedades comerciales, que no pueden funcionar como tales mientras no se haya inscripto el contrato, lo cual se encuentra establecido por la ley 19.550</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FF"/>
          <w:spacing w:val="-8"/>
          <w:sz w:val="24"/>
          <w:szCs w:val="24"/>
          <w:lang w:val="es-ES"/>
        </w:rPr>
        <w:t>3-Contabilidad legal: fundamentos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obligación de llevar libros de contabilidad se justifica desde un triple punto de vista: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Por el interés del propio comerciante que los lleva, puesto que así puede conocer en todo momento su propio estado financiero y orientar, en consecuencia, su gestión mercantil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Por el interés de quien contrata con él, puesto que en dichos libros puede apoyar sus propias defensas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 Por el interés general del comercio y de la sociedad:</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c.1) ya sea porque en caso de quiebra se podrá, sobre la base de los libros, reconstruir la conducta comercial del fallido, garantizando los derechos de los acreedores y descubriendo los fraudes y las operaciones desleales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c.2) ya sea porque el Estado quiere llevar el contralor del resultado de la explotación de las empresas con propósitos fiscales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Libros obligatorios: </w:t>
      </w:r>
      <w:r w:rsidRPr="003B0049">
        <w:rPr>
          <w:rFonts w:ascii="Cambria Math" w:eastAsia="Times New Roman" w:hAnsi="Cambria Math" w:cs="Calibri"/>
          <w:color w:val="000000"/>
          <w:spacing w:val="-8"/>
          <w:sz w:val="24"/>
          <w:szCs w:val="24"/>
          <w:lang w:val="es-ES"/>
        </w:rPr>
        <w:t>Los libros obligatorios son los que indispensablemente debe llevar el comerciante y los libros facultativos son los que el comerciante puede llevar o no: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a) todos aquellos que sean necesarios para una adecuada integración de un sistema de contabilidad y que sean exigidos por la importancia y la naturaleza de las actividades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todos aquellos que sean exigidos por la misma ley, como ocurre, por Ej.:</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 con el cuaderno manual y el libro de registro de los corredores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 con el diario de entradas, el diario de salidas y el libro de cuentas de gestión, que deben llevar los martilleros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Formalidades: </w:t>
      </w:r>
      <w:r w:rsidRPr="003B0049">
        <w:rPr>
          <w:rFonts w:ascii="Cambria Math" w:eastAsia="Times New Roman" w:hAnsi="Cambria Math" w:cs="Calibri"/>
          <w:color w:val="000000"/>
          <w:spacing w:val="-8"/>
          <w:sz w:val="24"/>
          <w:szCs w:val="24"/>
          <w:lang w:val="es-ES"/>
        </w:rPr>
        <w:t>Las formalidades referidas a la generalidad de los libros pueden ser extrínsecas, si conciernen a su aspecto exterior, o intrínsecas, si conciernen a su contenido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a) Las </w:t>
      </w:r>
      <w:r w:rsidRPr="003B0049">
        <w:rPr>
          <w:rFonts w:ascii="Cambria Math" w:eastAsia="Times New Roman" w:hAnsi="Cambria Math" w:cs="Calibri"/>
          <w:color w:val="000000"/>
          <w:spacing w:val="-8"/>
          <w:sz w:val="24"/>
          <w:szCs w:val="24"/>
          <w:u w:val="single"/>
          <w:lang w:val="es-ES"/>
        </w:rPr>
        <w:t>formalidades extrínsecas</w:t>
      </w:r>
      <w:r w:rsidRPr="003B0049">
        <w:rPr>
          <w:rFonts w:ascii="Cambria Math" w:eastAsia="Times New Roman" w:hAnsi="Cambria Math" w:cs="Calibri"/>
          <w:color w:val="000000"/>
          <w:spacing w:val="-8"/>
          <w:sz w:val="24"/>
          <w:szCs w:val="24"/>
          <w:lang w:val="es-ES"/>
        </w:rPr>
        <w:t> apuntan a que los libros deben estar individualizados, encuadernados y foliados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b) Las </w:t>
      </w:r>
      <w:r w:rsidRPr="003B0049">
        <w:rPr>
          <w:rFonts w:ascii="Cambria Math" w:eastAsia="Times New Roman" w:hAnsi="Cambria Math" w:cs="Calibri"/>
          <w:color w:val="000000"/>
          <w:spacing w:val="-8"/>
          <w:sz w:val="24"/>
          <w:szCs w:val="24"/>
          <w:u w:val="single"/>
          <w:lang w:val="es-ES"/>
        </w:rPr>
        <w:t>formalidades intrínsecas</w:t>
      </w:r>
      <w:r w:rsidRPr="003B0049">
        <w:rPr>
          <w:rFonts w:ascii="Cambria Math" w:eastAsia="Times New Roman" w:hAnsi="Cambria Math" w:cs="Calibri"/>
          <w:color w:val="000000"/>
          <w:spacing w:val="-8"/>
          <w:sz w:val="24"/>
          <w:szCs w:val="24"/>
          <w:lang w:val="es-ES"/>
        </w:rPr>
        <w:t> son las siguientes: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1-Los libros deben ser llevados en idioma español (pero si el comerciante es extranjero puede llevarlos en otro idioma, aunque no sea su lengua materna)</w:t>
      </w:r>
    </w:p>
    <w:p w:rsidR="00304137" w:rsidRPr="003B0049" w:rsidRDefault="00304137" w:rsidP="00304137">
      <w:pPr>
        <w:spacing w:after="0" w:line="480" w:lineRule="auto"/>
        <w:ind w:firstLine="70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2-Los asientos deben efectuarse en el orden en que se vayan realizando las operaciones del comerciante</w:t>
      </w:r>
    </w:p>
    <w:p w:rsidR="00304137" w:rsidRPr="003B0049" w:rsidRDefault="00304137" w:rsidP="00304137">
      <w:pPr>
        <w:spacing w:after="0" w:line="480" w:lineRule="auto"/>
        <w:ind w:firstLine="70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3-Las partidas deben sucederse inmediatamente, sin dejar espacios en blanco que permitan intercalaciones o adiciones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 xml:space="preserve">4-Se prohíbe hacer raspaduras, tachaduras o enmiendas y es así que todas las equivocaciones y omisiones que se cometan deben salvarse por medio de un </w:t>
      </w:r>
      <w:proofErr w:type="spellStart"/>
      <w:r w:rsidRPr="003B0049">
        <w:rPr>
          <w:rFonts w:ascii="Cambria Math" w:eastAsia="Times New Roman" w:hAnsi="Cambria Math" w:cs="Calibri"/>
          <w:color w:val="000000"/>
          <w:spacing w:val="-8"/>
          <w:sz w:val="24"/>
          <w:szCs w:val="24"/>
          <w:lang w:val="es-ES"/>
        </w:rPr>
        <w:t>contraasiento</w:t>
      </w:r>
      <w:proofErr w:type="spellEnd"/>
    </w:p>
    <w:p w:rsidR="00304137" w:rsidRPr="003B0049" w:rsidRDefault="00304137" w:rsidP="00304137">
      <w:pPr>
        <w:spacing w:after="0" w:line="480" w:lineRule="auto"/>
        <w:ind w:firstLine="70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5-Se prohíbe mutilar alguna parte del libro, arrancar hojas o alterar la encuadernación o foliación</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lastRenderedPageBreak/>
        <w:t>Medios mecánicos y otros: </w:t>
      </w:r>
      <w:r w:rsidRPr="003B0049">
        <w:rPr>
          <w:rFonts w:ascii="Cambria Math" w:eastAsia="Times New Roman" w:hAnsi="Cambria Math" w:cs="Calibri"/>
          <w:color w:val="000000"/>
          <w:spacing w:val="-8"/>
          <w:sz w:val="24"/>
          <w:szCs w:val="24"/>
          <w:lang w:val="es-ES"/>
        </w:rPr>
        <w:t xml:space="preserve">La LSC establece que puede prescindirse del cumplimiento de las formalidades extrínsecas cuando la autoridad de control o el Registro </w:t>
      </w:r>
      <w:proofErr w:type="gramStart"/>
      <w:r w:rsidRPr="003B0049">
        <w:rPr>
          <w:rFonts w:ascii="Cambria Math" w:eastAsia="Times New Roman" w:hAnsi="Cambria Math" w:cs="Calibri"/>
          <w:color w:val="000000"/>
          <w:spacing w:val="-8"/>
          <w:sz w:val="24"/>
          <w:szCs w:val="24"/>
          <w:lang w:val="es-ES"/>
        </w:rPr>
        <w:t>Público  autoricen</w:t>
      </w:r>
      <w:proofErr w:type="gramEnd"/>
      <w:r w:rsidRPr="003B0049">
        <w:rPr>
          <w:rFonts w:ascii="Cambria Math" w:eastAsia="Times New Roman" w:hAnsi="Cambria Math" w:cs="Calibri"/>
          <w:color w:val="000000"/>
          <w:spacing w:val="-8"/>
          <w:sz w:val="24"/>
          <w:szCs w:val="24"/>
          <w:lang w:val="es-ES"/>
        </w:rPr>
        <w:t xml:space="preserve"> la sustitución de los libros obligatorios por medios mecánicos de registración, con excepción del libro de inventarios y balances, que debe ser llevado en forma manual: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La petición de sustituir los libros por medios mecánicos de registración debe describir adecuadamente el sistema que se va a utilizar, y, una vez autorizada, la descripción debe transcribirse en el libro de inventario y balances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La petición de sustituir los libros por medios mecánicos de registración se considera tácitamente aprobada si no es observada o rechazada dentro de los 30 días de efectuada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Libro “Diario”: </w:t>
      </w:r>
      <w:r w:rsidRPr="003B0049">
        <w:rPr>
          <w:rFonts w:ascii="Cambria Math" w:eastAsia="Times New Roman" w:hAnsi="Cambria Math" w:cs="Calibri"/>
          <w:color w:val="000000"/>
          <w:spacing w:val="-8"/>
          <w:sz w:val="24"/>
          <w:szCs w:val="24"/>
          <w:lang w:val="es-ES"/>
        </w:rPr>
        <w:t>En el libro diario se anotan, día por día y según el orden en que se van efectuando todas las operaciones que el comerciante haga que puedan influir en su patrimonio, de modo que de cada partida resulte claro quién es el acreedor y quién es el deudor en la negociación a que se refiere:</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Si el comerciante lleva libro de Caja, no es necesario que asiente en el Diario los pagos que haga o reciba en dinero efectivo, puesto que en tal caso el libro de Caja se considera parte integrante del Diario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 Los comerciantes por menor asentarán día por día, en el libro Diario, la suma total de las ventas al contado, y por separado, la suma total de las ventas al fiado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Libro “Inventarios y Balances”: </w:t>
      </w:r>
      <w:r w:rsidRPr="003B0049">
        <w:rPr>
          <w:rFonts w:ascii="Cambria Math" w:eastAsia="Times New Roman" w:hAnsi="Cambria Math" w:cs="Calibri"/>
          <w:color w:val="000000"/>
          <w:spacing w:val="-8"/>
          <w:sz w:val="24"/>
          <w:szCs w:val="24"/>
          <w:lang w:val="es-ES"/>
        </w:rPr>
        <w:t>El libro inventarios y balances incluye, como su nombre lo indica, un inventario y un balance general: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El comerciante, al comenzar sus negocios, debe hacer un inventario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Posteriormente:</w:t>
      </w:r>
    </w:p>
    <w:p w:rsidR="00304137" w:rsidRPr="003B0049" w:rsidRDefault="00304137" w:rsidP="00304137">
      <w:pPr>
        <w:spacing w:after="0" w:line="480" w:lineRule="auto"/>
        <w:ind w:firstLine="34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b.1) si es un comerciante por mayor, cada año, al finalizar el ejercicio comercial, debe hacer un inventario y un balance general</w:t>
      </w:r>
    </w:p>
    <w:p w:rsidR="00304137" w:rsidRPr="003B0049" w:rsidRDefault="00304137" w:rsidP="00304137">
      <w:pPr>
        <w:spacing w:after="0" w:line="480" w:lineRule="auto"/>
        <w:ind w:firstLine="34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b.2) si es un comerciante por menor, cada 3 años, al finalizar el ejercicio comercial, debe hacer un inventario y un balance general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Inventario: concepto: </w:t>
      </w:r>
      <w:r w:rsidRPr="003B0049">
        <w:rPr>
          <w:rFonts w:ascii="Cambria Math" w:eastAsia="Times New Roman" w:hAnsi="Cambria Math" w:cs="Calibri"/>
          <w:color w:val="000000"/>
          <w:spacing w:val="-8"/>
          <w:sz w:val="24"/>
          <w:szCs w:val="24"/>
          <w:lang w:val="es-ES"/>
        </w:rPr>
        <w:t>El inventario consiste en un detalle </w:t>
      </w:r>
      <w:r w:rsidRPr="003B0049">
        <w:rPr>
          <w:rFonts w:ascii="Cambria Math" w:eastAsia="Times New Roman" w:hAnsi="Cambria Math" w:cs="Calibri"/>
          <w:color w:val="000000"/>
          <w:spacing w:val="-8"/>
          <w:sz w:val="24"/>
          <w:szCs w:val="24"/>
          <w:u w:val="single"/>
          <w:lang w:val="es-ES"/>
        </w:rPr>
        <w:t>analítico</w:t>
      </w:r>
      <w:r w:rsidRPr="003B0049">
        <w:rPr>
          <w:rFonts w:ascii="Cambria Math" w:eastAsia="Times New Roman" w:hAnsi="Cambria Math" w:cs="Calibri"/>
          <w:color w:val="000000"/>
          <w:spacing w:val="-8"/>
          <w:sz w:val="24"/>
          <w:szCs w:val="24"/>
          <w:lang w:val="es-ES"/>
        </w:rPr>
        <w:t> de todos los bienes, derechos y deudas que tiene una persona en un momento determinado, con la mención de sus respectivos valores. Existen diferentes criterios o métodos de estimación de los valores activos y pasivos que integran el patrimonio de la empresa, entre los que podemos citar por Ej. el precio de venta, el precio de compra, el precio de reposición o el precio de cotización. El Código no impone ningún criterio determinado, pero exige que siempre debe utilizarse el mismo y en caso de que el comerciante quiera modificarlo debe expresarlo y justificarlo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Balance General: concepto: </w:t>
      </w:r>
      <w:r w:rsidRPr="003B0049">
        <w:rPr>
          <w:rFonts w:ascii="Cambria Math" w:eastAsia="Times New Roman" w:hAnsi="Cambria Math" w:cs="Calibri"/>
          <w:color w:val="000000"/>
          <w:spacing w:val="-8"/>
          <w:sz w:val="24"/>
          <w:szCs w:val="24"/>
          <w:lang w:val="es-ES"/>
        </w:rPr>
        <w:t>El balance general es un cuadro </w:t>
      </w:r>
      <w:r w:rsidRPr="003B0049">
        <w:rPr>
          <w:rFonts w:ascii="Cambria Math" w:eastAsia="Times New Roman" w:hAnsi="Cambria Math" w:cs="Calibri"/>
          <w:color w:val="000000"/>
          <w:spacing w:val="-8"/>
          <w:sz w:val="24"/>
          <w:szCs w:val="24"/>
          <w:u w:val="single"/>
          <w:lang w:val="es-ES"/>
        </w:rPr>
        <w:t>sintético</w:t>
      </w:r>
      <w:r w:rsidRPr="003B0049">
        <w:rPr>
          <w:rFonts w:ascii="Cambria Math" w:eastAsia="Times New Roman" w:hAnsi="Cambria Math" w:cs="Calibri"/>
          <w:color w:val="000000"/>
          <w:spacing w:val="-8"/>
          <w:sz w:val="24"/>
          <w:szCs w:val="24"/>
          <w:lang w:val="es-ES"/>
        </w:rPr>
        <w:t> o un resumen del inventario, en el que se expresa el estado económico de una empresa y los resultados de su explotación en un momento determinado. El inventario es una operación previa necesaria para la formación del balance y entre inventario y balance encontramos 2 grandes diferencias:</w:t>
      </w:r>
    </w:p>
    <w:p w:rsidR="00304137" w:rsidRPr="003B0049" w:rsidRDefault="00304137" w:rsidP="00304137">
      <w:pPr>
        <w:numPr>
          <w:ilvl w:val="1"/>
          <w:numId w:val="3"/>
        </w:num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El balance agrupa las cuentas por categorías, mientras que el inventario da su detalle. Así, por Ej., el inventario describe el nombre de cada deudor, el monto de su deuda y, en su caso, la fecha de su vencimiento, mientras que el balance agrupa a todos los deudores bajo un rubro común de “Deudores varios” y expresa el monto global de dichas deudas</w:t>
      </w:r>
    </w:p>
    <w:p w:rsidR="00304137" w:rsidRPr="003B0049" w:rsidRDefault="00304137" w:rsidP="00304137">
      <w:pPr>
        <w:numPr>
          <w:ilvl w:val="1"/>
          <w:numId w:val="3"/>
        </w:num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El balance es un documento destinado a la publicidad, mientras que el inventario queda reservado para la empresa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FF"/>
          <w:spacing w:val="-8"/>
          <w:sz w:val="24"/>
          <w:szCs w:val="24"/>
          <w:lang w:val="es-ES"/>
        </w:rPr>
        <w:lastRenderedPageBreak/>
        <w:t>Derechos de los comerciantes</w:t>
      </w:r>
    </w:p>
    <w:p w:rsidR="00304137" w:rsidRDefault="00304137" w:rsidP="00304137">
      <w:pPr>
        <w:spacing w:after="0" w:line="480" w:lineRule="auto"/>
        <w:jc w:val="both"/>
        <w:rPr>
          <w:rFonts w:ascii="Cambria Math" w:eastAsia="Times New Roman" w:hAnsi="Cambria Math" w:cs="Calibri"/>
          <w:color w:val="000000"/>
          <w:spacing w:val="-8"/>
          <w:sz w:val="24"/>
          <w:szCs w:val="24"/>
          <w:lang w:val="es-ES"/>
        </w:rPr>
      </w:pPr>
      <w:r w:rsidRPr="003B0049">
        <w:rPr>
          <w:rFonts w:ascii="Cambria Math" w:eastAsia="Times New Roman" w:hAnsi="Cambria Math" w:cs="Calibri"/>
          <w:color w:val="0000FF"/>
          <w:spacing w:val="-8"/>
          <w:sz w:val="24"/>
          <w:szCs w:val="24"/>
          <w:lang w:val="es-ES"/>
        </w:rPr>
        <w:t>Disposiciones constitucionales:</w:t>
      </w:r>
      <w:r w:rsidRPr="003B0049">
        <w:rPr>
          <w:rFonts w:ascii="Cambria Math" w:eastAsia="Times New Roman" w:hAnsi="Cambria Math" w:cs="Calibri"/>
          <w:color w:val="000000"/>
          <w:spacing w:val="-8"/>
          <w:sz w:val="24"/>
          <w:szCs w:val="24"/>
          <w:lang w:val="es-ES"/>
        </w:rPr>
        <w:t> El Art. 14 de la CN enumera una serie de derechos que gozan “todos los habitantes de la Nación” y esos derechos deben ejercerse “conforme a las leyes que reglamenten su ejercicio”. En lo referente a la materia comercial, figuran incluidos los derechos a trabajar y ejercer toda industria lícita, a navegar y comerciar, a asociarse con fines útiles, y a usar y disponer de la propiedad, lo cual resulta confirmado por el Art. 17 que consagra la inviolabilidad de la propiedad. A su vez, el Art. 18 establece la inviolabilidad de la correspondencia y de los papeles privados. Por su parte, los artículos 10, 11 y 12 establecen normas relativas a la libre circulación interior de los efectos de producción o fabricación nacional, géneros y mercaderías de todas clases despachados en las aduanas exteriores, lo cual se complementa con la prohibición de “establecer aduanas provinciales” consagrada por el Art. 126. Sobre la base de los preceptos enunciados se afirman los derechos del hombre en general y los derechos del comerciante en particular, como es el caso de los derechos al nombre, a la competencia y a la propaganda</w:t>
      </w:r>
    </w:p>
    <w:p w:rsidR="008E2831" w:rsidRDefault="008E2831" w:rsidP="00304137">
      <w:pPr>
        <w:spacing w:after="0" w:line="480" w:lineRule="auto"/>
        <w:jc w:val="both"/>
        <w:rPr>
          <w:rFonts w:ascii="Cambria Math" w:eastAsia="Times New Roman" w:hAnsi="Cambria Math" w:cs="Calibri"/>
          <w:color w:val="000000"/>
          <w:spacing w:val="-8"/>
          <w:sz w:val="24"/>
          <w:szCs w:val="24"/>
          <w:lang w:val="es-ES"/>
        </w:rPr>
      </w:pPr>
    </w:p>
    <w:p w:rsidR="00304137" w:rsidRPr="003B0049" w:rsidRDefault="008E2831" w:rsidP="00304137">
      <w:pPr>
        <w:spacing w:after="0" w:line="480" w:lineRule="auto"/>
        <w:jc w:val="both"/>
        <w:rPr>
          <w:rFonts w:ascii="Cambria Math" w:eastAsia="Times New Roman" w:hAnsi="Cambria Math" w:cs="Times New Roman"/>
          <w:caps/>
          <w:color w:val="000000"/>
          <w:spacing w:val="-8"/>
          <w:sz w:val="24"/>
          <w:szCs w:val="24"/>
          <w:lang w:val="es-AR"/>
        </w:rPr>
      </w:pPr>
      <w:r>
        <w:rPr>
          <w:rFonts w:ascii="Cambria Math" w:eastAsia="Times New Roman" w:hAnsi="Cambria Math" w:cs="Calibri"/>
          <w:b/>
          <w:bCs/>
          <w:caps/>
          <w:color w:val="000000"/>
          <w:spacing w:val="-8"/>
          <w:sz w:val="24"/>
          <w:szCs w:val="24"/>
          <w:lang w:val="es-AR"/>
        </w:rPr>
        <w:t xml:space="preserve">La </w:t>
      </w:r>
      <w:r w:rsidR="00304137" w:rsidRPr="003B0049">
        <w:rPr>
          <w:rFonts w:ascii="Cambria Math" w:eastAsia="Times New Roman" w:hAnsi="Cambria Math" w:cs="Calibri"/>
          <w:b/>
          <w:bCs/>
          <w:caps/>
          <w:color w:val="000000"/>
          <w:spacing w:val="-8"/>
          <w:sz w:val="24"/>
          <w:szCs w:val="24"/>
          <w:lang w:val="es-AR"/>
        </w:rPr>
        <w:t>EMPRESA Y HACIENDA COMERCIAL</w:t>
      </w:r>
      <w:r>
        <w:rPr>
          <w:rFonts w:ascii="Cambria Math" w:eastAsia="Times New Roman" w:hAnsi="Cambria Math" w:cs="Calibri"/>
          <w:b/>
          <w:bCs/>
          <w:caps/>
          <w:color w:val="000000"/>
          <w:spacing w:val="-8"/>
          <w:sz w:val="24"/>
          <w:szCs w:val="24"/>
          <w:lang w:val="es-AR"/>
        </w:rPr>
        <w:t>- FONDO DE COMERCIO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Empresa: </w:t>
      </w:r>
      <w:r w:rsidRPr="003B0049">
        <w:rPr>
          <w:rFonts w:ascii="Cambria Math" w:eastAsia="Times New Roman" w:hAnsi="Cambria Math" w:cs="Calibri"/>
          <w:color w:val="000000"/>
          <w:spacing w:val="-8"/>
          <w:sz w:val="24"/>
          <w:szCs w:val="24"/>
          <w:lang w:val="es-ES"/>
        </w:rPr>
        <w:t>La empresa es la actividad de organización de los factores de producción (capital, trabajo, tierra y capacidad empresarial) para producir o intercambiar bienes o servicios, que se destinan a un mercado, con el propósito de realizar beneficios económicos, y, de esta definición, pueden desprenderse 4 características: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en 1er lugar, la empresa es una organización, es decir, un ente complejo indivisible, y, por lo tanto, todos sus actos caen dentro del régimen de la comercialidad</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b) en 2do lugar, la empresa no sólo produce o intercambia bienes materiales, sino también bienes inmateriales, es decir, servicios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 en 3er lugar, los bienes o servicios que produce la empresa están destinados al cambio, es decir, al mercado general, lo cual, según Etcheverry, no es adecuado, puesto que también son empresas las que producen para otras empresas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d) en 4to lugar, la actividad de la empresa se realiza con el propósito de realizar beneficios económicos, aclarando que, a los efectos de la comercialidad, dentro del régimen de nuestro Código de Comercio, no interesa el destino que se dé a esos beneficios, ya que, a diferencia de lo que ocurre con el inc. 1ero del Art. 8, el inc. 5to no enuncia el ánimo de lucro como elemento integrante de la noción de empresa, de manera tal que, por Ej., será comercial la empresa de espectáculos de beneficencia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Empresa, hacienda mercantil y sociedad: </w:t>
      </w:r>
      <w:r w:rsidRPr="003B0049">
        <w:rPr>
          <w:rFonts w:ascii="Cambria Math" w:eastAsia="Times New Roman" w:hAnsi="Cambria Math" w:cs="Calibri"/>
          <w:color w:val="000000"/>
          <w:spacing w:val="-8"/>
          <w:sz w:val="24"/>
          <w:szCs w:val="24"/>
          <w:lang w:val="es-ES"/>
        </w:rPr>
        <w:t>La </w:t>
      </w:r>
      <w:r w:rsidRPr="003B0049">
        <w:rPr>
          <w:rFonts w:ascii="Cambria Math" w:eastAsia="Times New Roman" w:hAnsi="Cambria Math" w:cs="Calibri"/>
          <w:color w:val="0000FF"/>
          <w:spacing w:val="-8"/>
          <w:sz w:val="24"/>
          <w:szCs w:val="24"/>
          <w:lang w:val="es-ES"/>
        </w:rPr>
        <w:t>empresa</w:t>
      </w:r>
      <w:r w:rsidRPr="003B0049">
        <w:rPr>
          <w:rFonts w:ascii="Cambria Math" w:eastAsia="Times New Roman" w:hAnsi="Cambria Math" w:cs="Calibri"/>
          <w:color w:val="000000"/>
          <w:spacing w:val="-8"/>
          <w:sz w:val="24"/>
          <w:szCs w:val="24"/>
          <w:lang w:val="es-ES"/>
        </w:rPr>
        <w:t> no debe ser confundida con:</w:t>
      </w:r>
    </w:p>
    <w:p w:rsidR="00304137" w:rsidRPr="003B0049" w:rsidRDefault="00304137" w:rsidP="00304137">
      <w:pPr>
        <w:spacing w:after="0" w:line="480" w:lineRule="auto"/>
        <w:ind w:firstLine="360"/>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a) su objeto, es decir, con el negocio, </w:t>
      </w:r>
      <w:r w:rsidRPr="003B0049">
        <w:rPr>
          <w:rFonts w:ascii="Cambria Math" w:eastAsia="Times New Roman" w:hAnsi="Cambria Math" w:cs="Calibri"/>
          <w:color w:val="0000FF"/>
          <w:spacing w:val="-8"/>
          <w:sz w:val="24"/>
          <w:szCs w:val="24"/>
          <w:lang w:val="es-ES"/>
        </w:rPr>
        <w:t>hacienda mercantil</w:t>
      </w:r>
      <w:r w:rsidRPr="003B0049">
        <w:rPr>
          <w:rFonts w:ascii="Cambria Math" w:eastAsia="Times New Roman" w:hAnsi="Cambria Math" w:cs="Calibri"/>
          <w:color w:val="000000"/>
          <w:spacing w:val="-8"/>
          <w:sz w:val="24"/>
          <w:szCs w:val="24"/>
          <w:lang w:val="es-ES"/>
        </w:rPr>
        <w:t> o comercial, fondo de comercio o establecimiento mercantil, en el sentido que:</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a.1) por un lado, puede haber empresa sin hacienda comercial, como es el caso de la empresa organizada al solo efecto de prestar servicios ocasionalmente con motivo de un acontecimiento cualquiera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a.2) y, por otro lado, puede haber hacienda comercial sin empresa, como es el caso de un establecimiento mercantil momentáneamente paralizado por muerte de su titular</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b) el sujeto, es decir, con el empresario, el cual es la persona, física o jurídica, que crea la empresa, la organiza, la explota, aprovecha sus beneficios y soporta sus riesgos, aclarando que cuando aludimos a empresario aludimos tanto al sujeto individual como al sujeto colectivo, es decir, a la </w:t>
      </w:r>
      <w:r w:rsidRPr="003B0049">
        <w:rPr>
          <w:rFonts w:ascii="Cambria Math" w:eastAsia="Times New Roman" w:hAnsi="Cambria Math" w:cs="Calibri"/>
          <w:color w:val="0000FF"/>
          <w:spacing w:val="-8"/>
          <w:sz w:val="24"/>
          <w:szCs w:val="24"/>
          <w:lang w:val="es-ES"/>
        </w:rPr>
        <w:t>sociedad</w:t>
      </w:r>
      <w:r w:rsidRPr="003B0049">
        <w:rPr>
          <w:rFonts w:ascii="Cambria Math" w:eastAsia="Times New Roman" w:hAnsi="Cambria Math" w:cs="Calibri"/>
          <w:color w:val="000000"/>
          <w:spacing w:val="-8"/>
          <w:sz w:val="24"/>
          <w:szCs w:val="24"/>
          <w:lang w:val="es-ES"/>
        </w:rPr>
        <w:t xml:space="preserve">, puesto que así como una persona física no puede ser nunca una empresa, </w:t>
      </w:r>
      <w:r w:rsidRPr="003B0049">
        <w:rPr>
          <w:rFonts w:ascii="Cambria Math" w:eastAsia="Times New Roman" w:hAnsi="Cambria Math" w:cs="Calibri"/>
          <w:color w:val="000000"/>
          <w:spacing w:val="-8"/>
          <w:sz w:val="24"/>
          <w:szCs w:val="24"/>
          <w:lang w:val="es-ES"/>
        </w:rPr>
        <w:lastRenderedPageBreak/>
        <w:t>sino un empresario, la persona jurídica es siempre empresario, y, como tal, titular de la empresa, pero no la empresa misma. Es más, puede ocurrir que haya persona jurídica y no empresa, lo cual se da cuando ésta deja de funcionar por cualquier motivo. A esto cabe agregar que la empresa es inmaterial y el empresario es material. Sin embargo, más allá de todo lo dicho, en la práctica la sociedad es confundida con la empresa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Empresario y artesano: </w:t>
      </w:r>
      <w:r w:rsidRPr="003B0049">
        <w:rPr>
          <w:rFonts w:ascii="Cambria Math" w:eastAsia="Times New Roman" w:hAnsi="Cambria Math" w:cs="Calibri"/>
          <w:color w:val="000000"/>
          <w:spacing w:val="-8"/>
          <w:sz w:val="24"/>
          <w:szCs w:val="24"/>
          <w:lang w:val="es-ES"/>
        </w:rPr>
        <w:t>El artesano es la persona física que tiene pericia o habilidad para un oficio manual o mecánico, y se caracteriza porque, por un lado, trabaja utilizando sus propias herramientas y en el taller que le pertenece, y, por el otro, trabaja auxiliado por los miembros de su familia, por un número reducido de aprendices, y, eventualmente, por uno o 2 obreros asalariados: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La diferencia entre las nociones de empresario y de artesano es meramente cuantitativa o accidental, y no cualitativa o sustancial, de manera tal que, a la hora de distinguir ambas nociones, deberemos apelar a las circunstancias propias del caso concreto, sin perjuicio de poder guiarnos en base a ciertos parámetros, tales como:</w:t>
      </w:r>
    </w:p>
    <w:p w:rsidR="00304137" w:rsidRPr="003B0049" w:rsidRDefault="00304137" w:rsidP="00304137">
      <w:pPr>
        <w:spacing w:after="0" w:line="480" w:lineRule="auto"/>
        <w:ind w:firstLine="70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a.1) El artesano ejecuta encargos y el empresario produce para el mercado general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a.2) En la tarea del artesano predomina su capacidad técnica personal y en la tarea del empresario predomina su capacidad de organización y dirección técnica y económica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a.3) Y, finalmente, el monto del capital invertido y la cantidad de personal empleados pueden ser criterios auxiliares de diferenciación</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Y, esta diferencia, no se circunscribe solamente al plano teórico, sino que también trasciende hacia el plano práctico, en el sentido que:</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b.1) El artesano ejerce una profesión civil</w:t>
      </w:r>
    </w:p>
    <w:p w:rsidR="00304137" w:rsidRPr="003B0049" w:rsidRDefault="00304137" w:rsidP="00304137">
      <w:pPr>
        <w:spacing w:after="0" w:line="480" w:lineRule="auto"/>
        <w:ind w:firstLine="70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b.2) El empresario realiza actos de comercio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lastRenderedPageBreak/>
        <w:t>Unidad económica y administrativa de la empresa: </w:t>
      </w:r>
      <w:r w:rsidRPr="003B0049">
        <w:rPr>
          <w:rFonts w:ascii="Cambria Math" w:eastAsia="Times New Roman" w:hAnsi="Cambria Math" w:cs="Calibri"/>
          <w:color w:val="000000"/>
          <w:spacing w:val="-8"/>
          <w:sz w:val="24"/>
          <w:szCs w:val="24"/>
          <w:lang w:val="es-ES"/>
        </w:rPr>
        <w:t>El fondo de comercio está constituido por un conjunto de bienes heterogéneos, algunos materiales (como es el caso de una estantería) y otros inmateriales (como es el caso del nombre comercial), pero, todos esos bienes son considerados una unidad, tanto económica como administrativa, ya que el empresario los organiza en su totalidad con el fin de posibilitar y facilitar el funcionamiento de la empresa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Concepto de sede, sucursal, filial y agencia: </w:t>
      </w:r>
      <w:r w:rsidRPr="003B0049">
        <w:rPr>
          <w:rFonts w:ascii="Cambria Math" w:eastAsia="Times New Roman" w:hAnsi="Cambria Math" w:cs="Calibri"/>
          <w:color w:val="000000"/>
          <w:spacing w:val="-8"/>
          <w:sz w:val="24"/>
          <w:szCs w:val="24"/>
          <w:lang w:val="es-ES"/>
        </w:rPr>
        <w:t>Ahora bien, en muchas ocasiones, la empresa necesita expandirse y esto da lugar a 2 fenómenos de expansión diferentes: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El 1ero es el de descentralización de empresas, que da lugar a la formación de sucursales y de agencias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El 2do es el de concentración de empresas, que da lugar a la formación de filiales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La sede, las sucursales y las agencias conforman una sola persona jurídica y tienen un patrimonio único, y, en consecuencia, los acreedores de la sucursal pueden perseguir el cobro de sus créditos contra el patrimonio de la empresa, aunque corresponda a la sede o a otra sucursal: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sede es el lugar en el que el empresario tiene el asiento principal de los negocios, que puede coincidir o no con el de la sede de la explotación principal, que es el lugar donde se realizan las operaciones técnicas de la empresa, como es el caso del lugar donde se encuentra la fábrica o el taller:</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Si se trata de un comerciante individual, la sede es el lugar en donde funcionan las oficinas desde las cuales se dirige la empresa y se centraliza su contabilidad</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Si se trata de una sociedad, la sede es el lugar donde funcionan los órganos de gobierno y administración, como es el caso del directorio o de la asamblea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sede se expande a través de sucursales, las cuales: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lastRenderedPageBreak/>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Son una simple extensión de la empresa a la que están subordinadas y tienen su mismo objeto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Tienen:</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E0"/>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carácter permanente</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E0"/>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una instalación material distinta de la del establecimiento principal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E0"/>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una clientela distinta de la sede</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Están a cargo de un factor o gerente</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sede también se expande a través de agencias, las cuales están a cargo de un empleado que, si bien tiene cierta jerarquía, no tiene los poderes y facultades que tiene el gerente de una sucursal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La matriz y las filiales son personas jurídicas diferentes: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Etimológicamente, matriz significa madre y filial hijo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filial es una forma de la participación financiera de una sociedad en otra a través de la suscripción o adquisición de acciones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filial, con respecto a la matriz, tiene independencia jurídica y dependencia económica: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independencia jurídica se traduce en que la filial es una sociedad provista de personalidad jurídica, regida por sus propios estatutos y por sus propios órganos de gobierno y de administración, y, fundamentalmente, provista de patrimonio propio, motivo por el cual la matriz no responde por la filial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C"/>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dependencia económica se traduce en que la matriz posee un número de acciones de la filial suficiente para imponer sus decisiones en las asambleas, o bien dispone de la mayoría en el directorio, o bien la sociedad madre ejercita la gerencia de la filial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lastRenderedPageBreak/>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Como ejemplos podemos citar la industria automotriz y el caso de los bancos. Así, “Ford”, que es la matriz, constituyó en Argentina la filial “Ford Motor Argentina”</w:t>
      </w:r>
    </w:p>
    <w:p w:rsidR="00304137" w:rsidRPr="008E2831" w:rsidRDefault="008E2831" w:rsidP="00304137">
      <w:pPr>
        <w:spacing w:after="0" w:line="480" w:lineRule="auto"/>
        <w:jc w:val="both"/>
        <w:rPr>
          <w:rFonts w:ascii="Cambria Math" w:eastAsia="Times New Roman" w:hAnsi="Cambria Math" w:cs="Times New Roman"/>
          <w:b/>
          <w:color w:val="000000"/>
          <w:spacing w:val="-8"/>
          <w:sz w:val="24"/>
          <w:szCs w:val="24"/>
          <w:u w:val="single"/>
          <w:lang w:val="es-ES"/>
        </w:rPr>
      </w:pPr>
      <w:r w:rsidRPr="008E2831">
        <w:rPr>
          <w:rFonts w:ascii="Cambria Math" w:eastAsia="Times New Roman" w:hAnsi="Cambria Math" w:cs="Calibri"/>
          <w:b/>
          <w:color w:val="0000FF"/>
          <w:spacing w:val="-8"/>
          <w:sz w:val="24"/>
          <w:szCs w:val="24"/>
          <w:u w:val="single"/>
          <w:lang w:val="es-ES"/>
        </w:rPr>
        <w:t>HACIENDA COMERCIAL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Concepto: </w:t>
      </w:r>
      <w:r w:rsidRPr="003B0049">
        <w:rPr>
          <w:rFonts w:ascii="Cambria Math" w:eastAsia="Times New Roman" w:hAnsi="Cambria Math" w:cs="Calibri"/>
          <w:color w:val="000000"/>
          <w:spacing w:val="-8"/>
          <w:sz w:val="24"/>
          <w:szCs w:val="24"/>
          <w:lang w:val="es-ES"/>
        </w:rPr>
        <w:t>El Código Civil italiano de 1942 define a la hacienda comercial, establecimiento mercantil o fondo de comercio como el conjunto de los bienes organizados por el empresario para el ejercicio de su actividad profesional</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Naturaleza jurídica: </w:t>
      </w:r>
      <w:r w:rsidRPr="003B0049">
        <w:rPr>
          <w:rFonts w:ascii="Cambria Math" w:eastAsia="Times New Roman" w:hAnsi="Cambria Math" w:cs="Calibri"/>
          <w:color w:val="000000"/>
          <w:spacing w:val="-8"/>
          <w:sz w:val="24"/>
          <w:szCs w:val="24"/>
          <w:lang w:val="es-ES"/>
        </w:rPr>
        <w:t>El fondo de comercio está constituido por un conjunto de bienes heterogéneos, algunos materiales (como es el caso de una estantería) y otros inmateriales (como es el caso del nombre comercial), pero, como todos los bienes son considerados una unidad, tanto económica como administrativa, en cuanto a su naturaleza jurídica, el fondo de comercio es una universalidad consistente en un bien de naturaleza mueble incorporal, más allá de que tenga elementos materiales, sin perjuicio de que la teoría atomística sostenga que los elementos constitutivos del fondo de comercio son distintos y yuxtapuestos, y que, por lo tanto, no configuran una unidad, de manera tal que no puede hablarse de transferencia de fondo de comercio, sino de transferencia de los elementos singulares que lo componen</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FF"/>
          <w:spacing w:val="-8"/>
          <w:sz w:val="24"/>
          <w:szCs w:val="24"/>
          <w:lang w:val="es-ES"/>
        </w:rPr>
        <w:t>Elementos constitutivos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son elementos constitutivos de un fondo de comercio, a los efectos de su transmisión por cualquier título: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1) Las instalaciones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2) Las existencias en mercaderías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3) El nombre comercial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4) La enseña comercial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5) El derecho al local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6) La clientela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7) Las patentes de invención</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8) Las marcas de fábrica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9) Los dibujos y modelos industriales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10) Las distinciones honoríficas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11) Y todos los demás derechos derivados de la propiedad comercial e industrial o artística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es una enumeración enunciativa, que permite a las partes que conciertan la transferencia de un fondo de comercio incluir otros bienes además de los enumerados o excluir algunos de ellos, pero, la utilidad de la enumeración radica en que, por lo general, cuando se transfiere un fondo de comercio no se suelen especificar los elementos transferidos, y, por lo tanto, sirve de orientación para señalar los elementos que usualmente integran el mismo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1) Instalaciones, útiles, máquinas: </w:t>
      </w:r>
      <w:r w:rsidRPr="003B0049">
        <w:rPr>
          <w:rFonts w:ascii="Cambria Math" w:eastAsia="Times New Roman" w:hAnsi="Cambria Math" w:cs="Calibri"/>
          <w:color w:val="000000"/>
          <w:spacing w:val="-8"/>
          <w:sz w:val="24"/>
          <w:szCs w:val="24"/>
          <w:lang w:val="es-ES"/>
        </w:rPr>
        <w:t>Las pertenencias son los bienes afectados al fondo de comercio con cierta permanencia y comprende a las instalaciones, a los muebles y útiles y a las máquinas: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Las instalaciones son las pertenencias del fondo de comercio que se colocan en el establecimiento con cierta permanencia destinadas al servicio y explotación de la hacienda, como es el caso de una vidriera o de una estantería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Los muebles y útiles son las pertenencias del fondo de comercio que están unidas a éste por su destino económico, y no por su adhesión física o material, como es el caso de los mostradores o de las herramientas de trabajo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 Las máquinas son las pertenencias del fondo de comercio que consisten en aparatos o artefactos destinados a la fabricación, transformación, embalaje o cualquier otro proceso que hayan de sufrir las materias primas o las mercaderías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2) Mercaderías: </w:t>
      </w:r>
      <w:r w:rsidRPr="003B0049">
        <w:rPr>
          <w:rFonts w:ascii="Cambria Math" w:eastAsia="Times New Roman" w:hAnsi="Cambria Math" w:cs="Calibri"/>
          <w:color w:val="000000"/>
          <w:spacing w:val="-8"/>
          <w:sz w:val="24"/>
          <w:szCs w:val="24"/>
          <w:lang w:val="es-ES"/>
        </w:rPr>
        <w:t>Las mercaderías son las cosas cuya venta o comercialización constituye el objeto de la explotación del establecimiento, y, en general, son objeto de un contrato aparte, puesto que, como la transferencia implica llevar a cabo una serie de procedimientos sucesivos en el tiempo y durante ese tiempo el negocio permanece abierto, la mercadería va fluctuando, de manera tal que, una vez finalizados estos procedimientos, se celebra el contrato de compraventa de mercaderías correspondiente (no obstante, existen ciertos negocios que no tienen mercaderías y aquí encontramos los que prestan servicios)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Materias primas: </w:t>
      </w:r>
      <w:r w:rsidRPr="003B0049">
        <w:rPr>
          <w:rFonts w:ascii="Cambria Math" w:eastAsia="Times New Roman" w:hAnsi="Cambria Math" w:cs="Calibri"/>
          <w:color w:val="000000"/>
          <w:spacing w:val="-8"/>
          <w:sz w:val="24"/>
          <w:szCs w:val="24"/>
          <w:lang w:val="es-ES"/>
        </w:rPr>
        <w:t>Las materias primas son las sustancias que son utilizadas para la elaboración o preparación de las mercaderías, y, por lo tanto, también deben ser incluidas entre los elementos del fondo de comercio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Provisiones: </w:t>
      </w:r>
      <w:r w:rsidRPr="003B0049">
        <w:rPr>
          <w:rFonts w:ascii="Cambria Math" w:eastAsia="Times New Roman" w:hAnsi="Cambria Math" w:cs="Calibri"/>
          <w:color w:val="000000"/>
          <w:spacing w:val="-8"/>
          <w:sz w:val="24"/>
          <w:szCs w:val="24"/>
          <w:lang w:val="es-ES"/>
        </w:rPr>
        <w:t>Las provisiones son las sustancias destinadas a consumirse en el establecimiento como simples medios de explotación, pero que no se incorporan a los productos o mercaderías que se fabrican o se venden, como es el caso del carbón o del combustible, y, según la doctrina, deben ser considerados como pertenencias, y, en consecuencia, deben ser incluidos entre los elementos del fondo de comercio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3) Nombre comercial: </w:t>
      </w:r>
      <w:r w:rsidRPr="003B0049">
        <w:rPr>
          <w:rFonts w:ascii="Cambria Math" w:eastAsia="Times New Roman" w:hAnsi="Cambria Math" w:cs="Calibri"/>
          <w:color w:val="000000"/>
          <w:spacing w:val="-8"/>
          <w:sz w:val="24"/>
          <w:szCs w:val="24"/>
          <w:lang w:val="es-ES"/>
        </w:rPr>
        <w:t>El nombre comercial es aquél con el cual el comerciante se hace conocer en su actividad, goza de crédito y se afama, y adquiere los derechos y contrae las obligaciones atinentes a su empresa, aclarando que en muchos casos el nombre comercial coincide con el nombre civil, como es el caso de los supermercados Coto, y, en estos casos, el enajenante del fondo de comercio puede hacer una reserva para no transmitir el nombre comercial al adquirente, lo cual, seguramente, derivará en una disminución del monto que éste debe pagar a aquél</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4) Enseña comercial: </w:t>
      </w:r>
      <w:r w:rsidRPr="003B0049">
        <w:rPr>
          <w:rFonts w:ascii="Cambria Math" w:eastAsia="Times New Roman" w:hAnsi="Cambria Math" w:cs="Calibri"/>
          <w:color w:val="000000"/>
          <w:spacing w:val="-8"/>
          <w:sz w:val="24"/>
          <w:szCs w:val="24"/>
          <w:lang w:val="es-ES"/>
        </w:rPr>
        <w:t>El emblema o enseña comercial (que puede o no coincidir con el nombre comercial y, a su vez, con el nombre civil) es el signo distintivo que identifica al local, como es el caso de un cartel o de un letrero, que suele colocarse al frente del local o en un lugar visible, y, que se forma, por lo general, con palabras o con figuras, o con palabras y figuras a la vez. El emblema o enseña comercial debe ser:</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Veraz, es decir, que no debe contener enunciaciones o indicaciones susceptibles de engañar al público, como es el caso del letrero que invoca premios o distinciones no ganados</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Lícito, es decir, que no debe contener expresiones o dibujos contrarios a la ley, a la moral o a las buenas costumbres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c) Original, es decir, que no debe contener palabras que por su generalidad o imprecisión no cumplan su función de identificar el establecimiento, de manera tal que, por Ej., no sería enseña la mera palabra “ferretería”, pero sí lo sería la denominación “ferretería Mendoza”</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d) Novedoso, es decir, que no debe repetir expresiones, dibujos o denominaciones ya empleadas por otro establecimiento del mismo ramo en el ámbito donde aquél alcanza con sus actividades mercantiles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5) Derecho al local: </w:t>
      </w:r>
      <w:r w:rsidRPr="003B0049">
        <w:rPr>
          <w:rFonts w:ascii="Cambria Math" w:eastAsia="Times New Roman" w:hAnsi="Cambria Math" w:cs="Calibri"/>
          <w:color w:val="000000"/>
          <w:spacing w:val="-8"/>
          <w:sz w:val="24"/>
          <w:szCs w:val="24"/>
          <w:lang w:val="es-ES"/>
        </w:rPr>
        <w:t>El derecho al local implica que:</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Si el enajenante del fondo de comercio es propietario del inmueble, y no acuerda nada con la contraparte, está obligado a suscribir un contrato de locación con el adquirente, debido a que el inmueble es indispensable para la explotación de la empresa, salvo en casos muy excepcionales, como es el caso de los circos ambulantes o de los mercaderes ambulantes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b) Si el enajenante del fondo de comercio es locatario del inmueble, y no acuerda nada con la contraparte, está obligado a llevar a cabo las tratativas necesarias para que el dueño del inmueble celebre un contrato de locación con el adquirente</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6) Clientela: </w:t>
      </w:r>
      <w:r w:rsidRPr="003B0049">
        <w:rPr>
          <w:rFonts w:ascii="Cambria Math" w:eastAsia="Times New Roman" w:hAnsi="Cambria Math" w:cs="Calibri"/>
          <w:color w:val="000000"/>
          <w:spacing w:val="-8"/>
          <w:sz w:val="24"/>
          <w:szCs w:val="24"/>
          <w:lang w:val="es-ES"/>
        </w:rPr>
        <w:t>La clientela es el conjunto más o menos coherente y más o menos homogéneo de personas que comercian con un establecimiento: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La clientela comprende a los clientes habituales, como es el caso del sujeto que siempre compra en el mismo almacén, y a los clientes ocasionales, como es el caso de quien, luego de hacer un viaje excepcional, cena en el bar de la terminal de ómnibus</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El transmitente de un fondo de comercio, salvo que se pacte lo contrario, debe observar 2 obligaciones para proteger la clientela, que son:</w:t>
      </w:r>
    </w:p>
    <w:p w:rsidR="00304137" w:rsidRPr="003B0049" w:rsidRDefault="00304137" w:rsidP="00304137">
      <w:pPr>
        <w:spacing w:after="0" w:line="480" w:lineRule="auto"/>
        <w:ind w:firstLine="706"/>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b.1) la obligación de no restablecerse en el radio del lugar, que se determina en cada caso concreto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b.2) la obligación de no restablecerse por un plazo determinado, que, generalmente, la doctrina y la jurisprudencia establecieron en 5 años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Llave del negocio: </w:t>
      </w:r>
      <w:r w:rsidRPr="003B0049">
        <w:rPr>
          <w:rFonts w:ascii="Cambria Math" w:eastAsia="Times New Roman" w:hAnsi="Cambria Math" w:cs="Calibri"/>
          <w:color w:val="000000"/>
          <w:spacing w:val="-8"/>
          <w:sz w:val="24"/>
          <w:szCs w:val="24"/>
          <w:lang w:val="es-ES"/>
        </w:rPr>
        <w:t>La llave del negocio, más que un elemento del fondo de comercio, es un resultado de su explotación, que consiste en la capacidad del fondo de comercio, por su composición y por el impulso dado a su organización, de dar superutilidades en el futuro, es decir, de dar utilidades superiores a lo que se considera normal, y, justamente, el valor llave es el mayor valor de un fondo de comercio en función de su capacidad de dar tales superutilidades, que puede ser:</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Neutro, cuando se estime que en el futuro no va a haber ni superutilidades ni déficit de utilidades</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Negativo, cuando se estime que en el futuro va a haber déficit de utilidades</w:t>
      </w:r>
    </w:p>
    <w:p w:rsidR="00304137" w:rsidRPr="003B0049" w:rsidRDefault="00304137" w:rsidP="00304137">
      <w:pPr>
        <w:spacing w:after="0" w:line="480" w:lineRule="auto"/>
        <w:ind w:firstLine="360"/>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lastRenderedPageBreak/>
        <w:t>c) Positivo, cuando se estime que en el futuro va a haber superutilidades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7) Patentes de invención: </w:t>
      </w:r>
      <w:r w:rsidRPr="003B0049">
        <w:rPr>
          <w:rFonts w:ascii="Cambria Math" w:eastAsia="Times New Roman" w:hAnsi="Cambria Math" w:cs="Calibri"/>
          <w:color w:val="000000"/>
          <w:spacing w:val="-8"/>
          <w:sz w:val="24"/>
          <w:szCs w:val="24"/>
          <w:lang w:val="es-ES"/>
        </w:rPr>
        <w:t xml:space="preserve">Las patentes de invención, reguladas por la ley 24.603, que es la ex ley 111, se otorgan a quien inventa o descubre algo a lo que puede darse una nueva aplicación industrial, por un periodo de 5, 10 </w:t>
      </w:r>
      <w:proofErr w:type="spellStart"/>
      <w:r w:rsidRPr="003B0049">
        <w:rPr>
          <w:rFonts w:ascii="Cambria Math" w:eastAsia="Times New Roman" w:hAnsi="Cambria Math" w:cs="Calibri"/>
          <w:color w:val="000000"/>
          <w:spacing w:val="-8"/>
          <w:sz w:val="24"/>
          <w:szCs w:val="24"/>
          <w:lang w:val="es-ES"/>
        </w:rPr>
        <w:t>ó</w:t>
      </w:r>
      <w:proofErr w:type="spellEnd"/>
      <w:r w:rsidRPr="003B0049">
        <w:rPr>
          <w:rFonts w:ascii="Cambria Math" w:eastAsia="Times New Roman" w:hAnsi="Cambria Math" w:cs="Calibri"/>
          <w:color w:val="000000"/>
          <w:spacing w:val="-8"/>
          <w:sz w:val="24"/>
          <w:szCs w:val="24"/>
          <w:lang w:val="es-ES"/>
        </w:rPr>
        <w:t xml:space="preserve"> 15 años, según el mérito del invento y la voluntad del solicitante, y durante ese período el inventor o descubridor tiene el monopolio de la explotación de su invento o descubrimiento como si fuera propietario, y, en tal sentido, se asemejan al título de propiedad ordinario, pero, a diferencia de las demás propiedades que son perpetuas, las patentes de invención existen por el tiempo que marca la ley, y su fundamento es doble, en el sentido que:</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por un lado, se fundamenta en que ninguna obra, invento o descubrimiento es producto exclusivo de quien lo crea, lo inventa o lo descubre, sino que esta persona se valió de otras cosas creadas, inventadas o descubiertas</w:t>
      </w:r>
    </w:p>
    <w:p w:rsidR="00304137" w:rsidRPr="003B0049" w:rsidRDefault="00304137" w:rsidP="00304137">
      <w:pPr>
        <w:spacing w:after="0" w:line="480" w:lineRule="auto"/>
        <w:ind w:firstLine="360"/>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00"/>
          <w:spacing w:val="-8"/>
          <w:sz w:val="24"/>
          <w:szCs w:val="24"/>
          <w:lang w:val="es-ES"/>
        </w:rPr>
        <w:t>b) y, por el otro, se fundamenta en que permite el avance de la humanidad, puesto que una vez pasado ese tiempo cualquiera puede usarla</w:t>
      </w:r>
      <w:bookmarkStart w:id="0" w:name="sdfootnote4anc"/>
      <w:r w:rsidRPr="003B0049">
        <w:rPr>
          <w:rFonts w:ascii="Cambria Math" w:eastAsia="Times New Roman" w:hAnsi="Cambria Math" w:cs="Calibri"/>
          <w:color w:val="000000"/>
          <w:spacing w:val="-8"/>
          <w:sz w:val="24"/>
          <w:szCs w:val="24"/>
          <w:vertAlign w:val="superscript"/>
          <w:lang w:val="es-ES"/>
        </w:rPr>
        <w:fldChar w:fldCharType="begin"/>
      </w:r>
      <w:r w:rsidRPr="003B0049">
        <w:rPr>
          <w:rFonts w:ascii="Cambria Math" w:eastAsia="Times New Roman" w:hAnsi="Cambria Math" w:cs="Calibri"/>
          <w:color w:val="000000"/>
          <w:spacing w:val="-8"/>
          <w:sz w:val="24"/>
          <w:szCs w:val="24"/>
          <w:vertAlign w:val="superscript"/>
          <w:lang w:val="es-ES"/>
        </w:rPr>
        <w:instrText xml:space="preserve"> HYPERLINK "https://www.exapuni.com/carreras/apunte/Universidad%20de%20Buenos%20Aires/Abogac%C3%ADa/Comercial%20(Elementos%20de%20Derecho%20Comercial)/Derecho%20Comercial/684/0" \l "sdfootnote4sym" </w:instrText>
      </w:r>
      <w:r w:rsidRPr="003B0049">
        <w:rPr>
          <w:rFonts w:ascii="Cambria Math" w:eastAsia="Times New Roman" w:hAnsi="Cambria Math" w:cs="Calibri"/>
          <w:color w:val="000000"/>
          <w:spacing w:val="-8"/>
          <w:sz w:val="24"/>
          <w:szCs w:val="24"/>
          <w:vertAlign w:val="superscript"/>
          <w:lang w:val="es-ES"/>
        </w:rPr>
        <w:fldChar w:fldCharType="separate"/>
      </w:r>
      <w:r w:rsidRPr="003B0049">
        <w:rPr>
          <w:rFonts w:ascii="Cambria Math" w:eastAsia="Times New Roman" w:hAnsi="Cambria Math" w:cs="Calibri"/>
          <w:color w:val="0000FF"/>
          <w:spacing w:val="-8"/>
          <w:sz w:val="24"/>
          <w:szCs w:val="24"/>
          <w:u w:val="single"/>
          <w:vertAlign w:val="superscript"/>
          <w:lang w:val="es-ES"/>
        </w:rPr>
        <w:t>4</w:t>
      </w:r>
      <w:r w:rsidRPr="003B0049">
        <w:rPr>
          <w:rFonts w:ascii="Cambria Math" w:eastAsia="Times New Roman" w:hAnsi="Cambria Math" w:cs="Calibri"/>
          <w:color w:val="000000"/>
          <w:spacing w:val="-8"/>
          <w:sz w:val="24"/>
          <w:szCs w:val="24"/>
          <w:vertAlign w:val="superscript"/>
          <w:lang w:val="es-ES"/>
        </w:rPr>
        <w:fldChar w:fldCharType="end"/>
      </w:r>
      <w:bookmarkEnd w:id="0"/>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8) Marcas de fábrica: </w:t>
      </w:r>
      <w:r w:rsidRPr="003B0049">
        <w:rPr>
          <w:rFonts w:ascii="Cambria Math" w:eastAsia="Times New Roman" w:hAnsi="Cambria Math" w:cs="Calibri"/>
          <w:color w:val="000000"/>
          <w:spacing w:val="-8"/>
          <w:sz w:val="24"/>
          <w:szCs w:val="24"/>
          <w:lang w:val="es-ES"/>
        </w:rPr>
        <w:t>La marca: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 xml:space="preserve">identifica al producto y puede colocarse tanto en el mismo producto que se quiere distinguir como en su envase o envoltorio, y, en algunos casos, llega a suplantar al producto mismo, lo cual se evidencia si tenemos en cuenta, por Ej., los casos de </w:t>
      </w:r>
      <w:proofErr w:type="spellStart"/>
      <w:r w:rsidRPr="003B0049">
        <w:rPr>
          <w:rFonts w:ascii="Cambria Math" w:eastAsia="Times New Roman" w:hAnsi="Cambria Math" w:cs="Calibri"/>
          <w:color w:val="000000"/>
          <w:spacing w:val="-8"/>
          <w:sz w:val="24"/>
          <w:szCs w:val="24"/>
          <w:lang w:val="es-ES"/>
        </w:rPr>
        <w:t>Savora</w:t>
      </w:r>
      <w:proofErr w:type="spellEnd"/>
      <w:r w:rsidRPr="003B0049">
        <w:rPr>
          <w:rFonts w:ascii="Cambria Math" w:eastAsia="Times New Roman" w:hAnsi="Cambria Math" w:cs="Calibri"/>
          <w:color w:val="000000"/>
          <w:spacing w:val="-8"/>
          <w:sz w:val="24"/>
          <w:szCs w:val="24"/>
          <w:lang w:val="es-ES"/>
        </w:rPr>
        <w:t>, Gillette o Birome</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puede o no coincidir con el emblema comercial, con el nombre comercial y, a su vez, con el nombre civil, y es así que, por Ej., en Coca Cola se superpone nombre, emblema y marca</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da al que la registra el exclusivo derecho para usarla, aclarando que se registra todo, es decir, que no se registra solamente el nombre, sino también otros aspectos, como puede ser el color o forma de la letra utilizada o la forma del producto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9) Dibujos y modelos industriales: </w:t>
      </w:r>
      <w:r w:rsidRPr="003B0049">
        <w:rPr>
          <w:rFonts w:ascii="Cambria Math" w:eastAsia="Times New Roman" w:hAnsi="Cambria Math" w:cs="Calibri"/>
          <w:color w:val="000000"/>
          <w:spacing w:val="-8"/>
          <w:sz w:val="24"/>
          <w:szCs w:val="24"/>
          <w:lang w:val="es-ES"/>
        </w:rPr>
        <w:t>Los dibujos y modelos industriales son los que caracterizan e individualizan los productos atendiendo a patrones o finalidades estéticas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10) Distinciones honoríficas: </w:t>
      </w:r>
      <w:r w:rsidRPr="003B0049">
        <w:rPr>
          <w:rFonts w:ascii="Cambria Math" w:eastAsia="Times New Roman" w:hAnsi="Cambria Math" w:cs="Calibri"/>
          <w:color w:val="000000"/>
          <w:spacing w:val="-8"/>
          <w:sz w:val="24"/>
          <w:szCs w:val="24"/>
          <w:lang w:val="es-ES"/>
        </w:rPr>
        <w:t>Las distinciones honoríficas son los premios, las medallas, los diplomas, y las demás distinciones que se otorgan al establecimiento comercial o a sus productos, como es el caso de que un negocio fuera distinguido con la cinta azul de la popularidad, y, las mismas, salvo pacto en contrario, deben ser transmitidas al adquirente del fondo de comercio, cosa que no ocurre con las distinciones que se otorguen al comerciante atendiendo a sus características personales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Calibri"/>
          <w:color w:val="0000FF"/>
          <w:spacing w:val="-8"/>
          <w:sz w:val="24"/>
          <w:szCs w:val="24"/>
          <w:lang w:val="es-ES"/>
        </w:rPr>
        <w:t>Bienes no comprendidos: créditos y deudas: </w:t>
      </w:r>
      <w:r w:rsidRPr="003B0049">
        <w:rPr>
          <w:rFonts w:ascii="Cambria Math" w:eastAsia="Times New Roman" w:hAnsi="Cambria Math" w:cs="Calibri"/>
          <w:color w:val="000000"/>
          <w:spacing w:val="-8"/>
          <w:sz w:val="24"/>
          <w:szCs w:val="24"/>
          <w:lang w:val="es-ES"/>
        </w:rPr>
        <w:t>Los créditos y las deudas: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en el sistema germánico, son elementos integrantes del fondo de comercio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en nuestro sistema, que sigue al sistema francés, no son elementos integrantes del fondo de comercio, y, en consecuencia, salvo que se pacte lo contrario, los créditos y las deudas no se transfieren al adquirente del fondo de comercio, lo cual encuentra su fundamento en que los créditos y las deudas emergentes de la actividad de un fondo de comercio son créditos y deudas del titular de éste, puesto que en nuestro derecho el fondo de comercio no constituye un patrimonio separado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tbl>
      <w:tblPr>
        <w:tblW w:w="10800" w:type="dxa"/>
        <w:tblCellMar>
          <w:top w:w="75" w:type="dxa"/>
          <w:left w:w="75" w:type="dxa"/>
          <w:bottom w:w="75" w:type="dxa"/>
          <w:right w:w="75" w:type="dxa"/>
        </w:tblCellMar>
        <w:tblLook w:val="04A0" w:firstRow="1" w:lastRow="0" w:firstColumn="1" w:lastColumn="0" w:noHBand="0" w:noVBand="1"/>
      </w:tblPr>
      <w:tblGrid>
        <w:gridCol w:w="3861"/>
        <w:gridCol w:w="4000"/>
        <w:gridCol w:w="2939"/>
      </w:tblGrid>
      <w:tr w:rsidR="00304137" w:rsidRPr="00B92940" w:rsidTr="004377C3">
        <w:tc>
          <w:tcPr>
            <w:tcW w:w="3330"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304137" w:rsidRPr="003B0049" w:rsidRDefault="00304137" w:rsidP="004377C3">
            <w:pPr>
              <w:spacing w:after="144"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El nombre comercial identifica al comerciante</w:t>
            </w:r>
          </w:p>
        </w:tc>
        <w:tc>
          <w:tcPr>
            <w:tcW w:w="3450" w:type="dxa"/>
            <w:tcBorders>
              <w:top w:val="single" w:sz="6" w:space="0" w:color="000000"/>
              <w:left w:val="single" w:sz="6" w:space="0" w:color="000000"/>
              <w:bottom w:val="single" w:sz="6" w:space="0" w:color="000000"/>
              <w:right w:val="nil"/>
            </w:tcBorders>
            <w:shd w:val="clear" w:color="auto" w:fill="auto"/>
            <w:tcMar>
              <w:top w:w="0" w:type="dxa"/>
              <w:left w:w="72" w:type="dxa"/>
              <w:bottom w:w="0" w:type="dxa"/>
              <w:right w:w="0" w:type="dxa"/>
            </w:tcMar>
            <w:hideMark/>
          </w:tcPr>
          <w:p w:rsidR="00304137" w:rsidRPr="003B0049" w:rsidRDefault="00304137" w:rsidP="004377C3">
            <w:pPr>
              <w:spacing w:after="144"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El emblema o enseña comercial identifica al local</w:t>
            </w:r>
          </w:p>
        </w:tc>
        <w:tc>
          <w:tcPr>
            <w:tcW w:w="2535" w:type="dxa"/>
            <w:tcBorders>
              <w:top w:val="single" w:sz="6" w:space="0" w:color="000000"/>
              <w:left w:val="single" w:sz="6" w:space="0" w:color="000000"/>
              <w:bottom w:val="single" w:sz="6" w:space="0" w:color="000000"/>
              <w:right w:val="single" w:sz="6" w:space="0" w:color="000000"/>
            </w:tcBorders>
            <w:shd w:val="clear" w:color="auto" w:fill="auto"/>
            <w:tcMar>
              <w:top w:w="0" w:type="dxa"/>
              <w:left w:w="72" w:type="dxa"/>
              <w:bottom w:w="0" w:type="dxa"/>
              <w:right w:w="72" w:type="dxa"/>
            </w:tcMar>
            <w:hideMark/>
          </w:tcPr>
          <w:p w:rsidR="00304137" w:rsidRPr="003B0049" w:rsidRDefault="00304137" w:rsidP="004377C3">
            <w:pPr>
              <w:spacing w:after="144"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La marca identifica al producto</w:t>
            </w:r>
          </w:p>
        </w:tc>
      </w:tr>
    </w:tbl>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FF"/>
          <w:spacing w:val="-8"/>
          <w:sz w:val="24"/>
          <w:szCs w:val="24"/>
          <w:lang w:val="es-ES"/>
        </w:rPr>
        <w:t>6-Transferencia del fondo de comercio</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FF"/>
          <w:spacing w:val="-8"/>
          <w:sz w:val="24"/>
          <w:szCs w:val="24"/>
          <w:lang w:val="es-ES"/>
        </w:rPr>
        <w:lastRenderedPageBreak/>
        <w:t>Derechos de los acreedores</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La ley quiere proteger a los acreedores del fondo de comercio, puesto que en base a las prestaciones dadas por ellos éste aumenta notoriamente su valor (así, por Ej., en una librería un acreedor del fondo será la editorial, pero no será acreedor del fondo el dueño de la tienda en la cual el librero compró una prenda a plazo y no la pagó), y, a tales fines, el Art. 2 de la ley 11.867 establece que:</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a) para que sea válida con relación a 3eros la transferencia de un fondo de comercio, por venta o por cualquier otro título oneroso o gratuito, y por enajenación directa y privada o en público remate</w:t>
      </w:r>
    </w:p>
    <w:p w:rsidR="00304137" w:rsidRPr="003B0049" w:rsidRDefault="00304137" w:rsidP="00304137">
      <w:pPr>
        <w:spacing w:after="0" w:line="480" w:lineRule="auto"/>
        <w:jc w:val="both"/>
        <w:rPr>
          <w:rFonts w:ascii="Cambria Math" w:eastAsia="Times New Roman" w:hAnsi="Cambria Math" w:cs="Times New Roman"/>
          <w:color w:val="000000"/>
          <w:spacing w:val="-8"/>
          <w:sz w:val="24"/>
          <w:szCs w:val="24"/>
          <w:lang w:val="es-ES"/>
        </w:rPr>
      </w:pPr>
      <w:r w:rsidRPr="003B0049">
        <w:rPr>
          <w:rFonts w:ascii="Cambria Math" w:eastAsia="Times New Roman" w:hAnsi="Cambria Math" w:cs="Calibri"/>
          <w:color w:val="000000"/>
          <w:spacing w:val="-8"/>
          <w:sz w:val="24"/>
          <w:szCs w:val="24"/>
          <w:lang w:val="es-ES"/>
        </w:rPr>
        <w:t>b) debe mediar un previo anuncio durante 5 días en el Boletín Oficial de la Capital Federal o de la provincia respectiva y en uno o más diarios o periódicos del lugar en que funcione el establecimiento, debiendo indicarse la clase y ubicación del negocio, nombre y domicilio del vendedor y del comprador, y en caso de que intervengan, el del rematador y el del escribano con cuya actuación se realiza el acto</w:t>
      </w:r>
    </w:p>
    <w:p w:rsidR="00304137" w:rsidRPr="003B0049" w:rsidRDefault="00304137" w:rsidP="00304137">
      <w:pPr>
        <w:spacing w:after="0" w:line="480" w:lineRule="auto"/>
        <w:jc w:val="both"/>
        <w:rPr>
          <w:rFonts w:ascii="Cambria Math" w:eastAsia="Times New Roman" w:hAnsi="Cambria Math" w:cs="Times New Roman"/>
          <w:color w:val="000000"/>
          <w:sz w:val="24"/>
          <w:szCs w:val="24"/>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 xml:space="preserve">Si bien el Art. alude a la transmisión por venta o cualquier otro título, en la realidad, el fondo de comercio sólo es objeto de un contrato de compraventa, puesto que un contrato de usufructo o de locación, por Ej., trae aparejados riesgos para el vendedor, de manera tal </w:t>
      </w:r>
      <w:proofErr w:type="gramStart"/>
      <w:r w:rsidRPr="003B0049">
        <w:rPr>
          <w:rFonts w:ascii="Cambria Math" w:eastAsia="Times New Roman" w:hAnsi="Cambria Math" w:cs="Calibri"/>
          <w:color w:val="000000"/>
          <w:spacing w:val="-8"/>
          <w:sz w:val="24"/>
          <w:szCs w:val="24"/>
          <w:lang w:val="es-ES"/>
        </w:rPr>
        <w:t>que</w:t>
      </w:r>
      <w:proofErr w:type="gramEnd"/>
      <w:r w:rsidRPr="003B0049">
        <w:rPr>
          <w:rFonts w:ascii="Cambria Math" w:eastAsia="Times New Roman" w:hAnsi="Cambria Math" w:cs="Calibri"/>
          <w:color w:val="000000"/>
          <w:spacing w:val="-8"/>
          <w:sz w:val="24"/>
          <w:szCs w:val="24"/>
          <w:lang w:val="es-ES"/>
        </w:rPr>
        <w:t xml:space="preserve"> si el locatario o el usufructuario administran mal negocio, una vez finalizado el contrato, el perjudicado será el locador o </w:t>
      </w:r>
      <w:proofErr w:type="spellStart"/>
      <w:r w:rsidRPr="003B0049">
        <w:rPr>
          <w:rFonts w:ascii="Cambria Math" w:eastAsia="Times New Roman" w:hAnsi="Cambria Math" w:cs="Calibri"/>
          <w:color w:val="000000"/>
          <w:spacing w:val="-8"/>
          <w:sz w:val="24"/>
          <w:szCs w:val="24"/>
          <w:lang w:val="es-ES"/>
        </w:rPr>
        <w:t>usufructuante</w:t>
      </w:r>
      <w:proofErr w:type="spellEnd"/>
    </w:p>
    <w:p w:rsidR="002064CC" w:rsidRPr="00304137" w:rsidRDefault="00304137" w:rsidP="00E302D5">
      <w:pPr>
        <w:spacing w:after="0" w:line="480" w:lineRule="auto"/>
        <w:jc w:val="both"/>
        <w:rPr>
          <w:lang w:val="es-ES"/>
        </w:rPr>
      </w:pPr>
      <w:r w:rsidRPr="003B0049">
        <w:rPr>
          <w:rFonts w:ascii="Cambria Math" w:eastAsia="Times New Roman" w:hAnsi="Cambria Math" w:cs="Times New Roman"/>
          <w:color w:val="000000"/>
          <w:spacing w:val="-8"/>
          <w:sz w:val="24"/>
          <w:szCs w:val="24"/>
          <w:lang w:val="es-ES"/>
        </w:rPr>
        <w:sym w:font="Symbol" w:char="F0FB"/>
      </w:r>
      <w:r w:rsidRPr="003B0049">
        <w:rPr>
          <w:rFonts w:ascii="Cambria Math" w:eastAsia="Times New Roman" w:hAnsi="Cambria Math" w:cs="Times New Roman"/>
          <w:color w:val="000000"/>
          <w:spacing w:val="-8"/>
          <w:sz w:val="24"/>
          <w:szCs w:val="24"/>
          <w:lang w:val="es-ES"/>
        </w:rPr>
        <w:t> </w:t>
      </w:r>
      <w:r w:rsidRPr="003B0049">
        <w:rPr>
          <w:rFonts w:ascii="Cambria Math" w:eastAsia="Times New Roman" w:hAnsi="Cambria Math" w:cs="Calibri"/>
          <w:color w:val="000000"/>
          <w:spacing w:val="-8"/>
          <w:sz w:val="24"/>
          <w:szCs w:val="24"/>
          <w:lang w:val="es-ES"/>
        </w:rPr>
        <w:t>El anuncio tiene por finalidad alertar a los acreedores que se está por vender el fondo de comercio, y debe, por un lado, ser breve y claro, y, por el otro, establecer el lugar en que deben hacerse las oposiciones</w:t>
      </w:r>
      <w:bookmarkStart w:id="1" w:name="_GoBack"/>
      <w:bookmarkEnd w:id="1"/>
    </w:p>
    <w:sectPr w:rsidR="002064CC" w:rsidRPr="003041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E3B"/>
    <w:multiLevelType w:val="multilevel"/>
    <w:tmpl w:val="4B848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71FFE"/>
    <w:multiLevelType w:val="multilevel"/>
    <w:tmpl w:val="0652F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20B5E"/>
    <w:multiLevelType w:val="multilevel"/>
    <w:tmpl w:val="9550A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07A87"/>
    <w:multiLevelType w:val="multilevel"/>
    <w:tmpl w:val="DE00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C34C0"/>
    <w:multiLevelType w:val="multilevel"/>
    <w:tmpl w:val="ACC69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A1E32"/>
    <w:multiLevelType w:val="multilevel"/>
    <w:tmpl w:val="2A5ED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24F40"/>
    <w:multiLevelType w:val="multilevel"/>
    <w:tmpl w:val="43D4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65DAB"/>
    <w:multiLevelType w:val="multilevel"/>
    <w:tmpl w:val="89BC5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3F63D3"/>
    <w:multiLevelType w:val="multilevel"/>
    <w:tmpl w:val="D0BC6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BE7681"/>
    <w:multiLevelType w:val="multilevel"/>
    <w:tmpl w:val="FE64F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8"/>
  </w:num>
  <w:num w:numId="5">
    <w:abstractNumId w:val="9"/>
  </w:num>
  <w:num w:numId="6">
    <w:abstractNumId w:val="4"/>
  </w:num>
  <w:num w:numId="7">
    <w:abstractNumId w:val="1"/>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37"/>
    <w:rsid w:val="002064CC"/>
    <w:rsid w:val="00304137"/>
    <w:rsid w:val="008E2831"/>
    <w:rsid w:val="00B92940"/>
    <w:rsid w:val="00E302D5"/>
    <w:rsid w:val="00E61BE0"/>
    <w:rsid w:val="00EC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4663"/>
  <w15:chartTrackingRefBased/>
  <w15:docId w15:val="{97544084-34EF-4D0B-A4E3-3A5B5CFD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29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9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1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4868</Words>
  <Characters>27749</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4</cp:revision>
  <dcterms:created xsi:type="dcterms:W3CDTF">2022-04-19T12:50:00Z</dcterms:created>
  <dcterms:modified xsi:type="dcterms:W3CDTF">2022-04-19T13:47:00Z</dcterms:modified>
</cp:coreProperties>
</file>