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BDB" w:rsidRDefault="00702BDB" w:rsidP="00702BDB">
      <w:pPr>
        <w:pStyle w:val="Encabezado"/>
        <w:spacing w:line="276" w:lineRule="auto"/>
        <w:jc w:val="center"/>
        <w:rPr>
          <w:rFonts w:cstheme="minorHAnsi"/>
          <w:b/>
          <w:bCs/>
          <w:i/>
          <w:sz w:val="36"/>
          <w:szCs w:val="36"/>
          <w:u w:val="single"/>
          <w:lang w:val="es-MX"/>
        </w:rPr>
      </w:pPr>
      <w:r>
        <w:rPr>
          <w:noProof/>
          <w:lang w:val="en-US"/>
        </w:rPr>
        <w:drawing>
          <wp:anchor distT="0" distB="0" distL="114300" distR="114300" simplePos="0" relativeHeight="251659264" behindDoc="0" locked="0" layoutInCell="1" allowOverlap="1" wp14:anchorId="493B9F6A" wp14:editId="0F5F7E60">
            <wp:simplePos x="0" y="0"/>
            <wp:positionH relativeFrom="column">
              <wp:posOffset>5015865</wp:posOffset>
            </wp:positionH>
            <wp:positionV relativeFrom="paragraph">
              <wp:posOffset>0</wp:posOffset>
            </wp:positionV>
            <wp:extent cx="1038225" cy="12858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i/>
          <w:sz w:val="36"/>
          <w:szCs w:val="36"/>
          <w:u w:val="single"/>
          <w:lang w:val="es-MX"/>
        </w:rPr>
        <w:t>COLEGIO: SAN JOSÉ</w:t>
      </w:r>
    </w:p>
    <w:p w:rsidR="00702BDB" w:rsidRDefault="00702BDB" w:rsidP="00702BDB">
      <w:pPr>
        <w:pStyle w:val="Encabezado"/>
        <w:spacing w:line="276" w:lineRule="auto"/>
        <w:jc w:val="center"/>
        <w:rPr>
          <w:rFonts w:cstheme="minorHAnsi"/>
          <w:b/>
          <w:bCs/>
          <w:i/>
          <w:sz w:val="36"/>
          <w:szCs w:val="36"/>
          <w:u w:val="single"/>
          <w:lang w:val="es-MX"/>
        </w:rPr>
      </w:pPr>
    </w:p>
    <w:p w:rsidR="00702BDB" w:rsidRDefault="00702BDB" w:rsidP="00702BDB">
      <w:pPr>
        <w:pStyle w:val="Encabezado"/>
        <w:spacing w:line="360" w:lineRule="auto"/>
        <w:jc w:val="both"/>
        <w:rPr>
          <w:rFonts w:cstheme="minorHAnsi"/>
          <w:b/>
          <w:bCs/>
          <w:i/>
          <w:sz w:val="28"/>
          <w:szCs w:val="28"/>
          <w:lang w:val="es-MX"/>
        </w:rPr>
      </w:pPr>
      <w:r>
        <w:rPr>
          <w:rFonts w:cstheme="minorHAnsi"/>
          <w:bCs/>
          <w:sz w:val="28"/>
          <w:szCs w:val="28"/>
          <w:lang w:val="es-MX"/>
        </w:rPr>
        <w:t xml:space="preserve">MATERIA: </w:t>
      </w:r>
      <w:r>
        <w:rPr>
          <w:rFonts w:cstheme="minorHAnsi"/>
          <w:b/>
          <w:bCs/>
          <w:i/>
          <w:sz w:val="28"/>
          <w:szCs w:val="28"/>
          <w:lang w:val="es-MX"/>
        </w:rPr>
        <w:t>MARCO JURIDICO</w:t>
      </w:r>
    </w:p>
    <w:p w:rsidR="00702BDB" w:rsidRDefault="00702BDB" w:rsidP="00702BDB">
      <w:pPr>
        <w:pStyle w:val="Encabezado"/>
        <w:spacing w:line="360" w:lineRule="auto"/>
        <w:jc w:val="both"/>
        <w:rPr>
          <w:rFonts w:cstheme="minorHAnsi"/>
          <w:bCs/>
          <w:sz w:val="28"/>
          <w:szCs w:val="28"/>
          <w:lang w:val="es-MX"/>
        </w:rPr>
      </w:pPr>
      <w:r>
        <w:rPr>
          <w:rFonts w:cstheme="minorHAnsi"/>
          <w:bCs/>
          <w:sz w:val="28"/>
          <w:szCs w:val="28"/>
          <w:lang w:val="es-MX"/>
        </w:rPr>
        <w:t>Curso: Sexto     División: Química</w:t>
      </w:r>
    </w:p>
    <w:p w:rsidR="00702BDB" w:rsidRDefault="00702BDB" w:rsidP="00702BDB">
      <w:pPr>
        <w:pStyle w:val="Encabezado"/>
        <w:spacing w:line="360" w:lineRule="auto"/>
        <w:jc w:val="both"/>
        <w:rPr>
          <w:rFonts w:cstheme="minorHAnsi"/>
          <w:bCs/>
          <w:sz w:val="28"/>
          <w:szCs w:val="28"/>
          <w:lang w:val="es-MX"/>
        </w:rPr>
      </w:pPr>
      <w:r>
        <w:rPr>
          <w:rFonts w:cstheme="minorHAnsi"/>
          <w:bCs/>
          <w:sz w:val="28"/>
          <w:szCs w:val="28"/>
          <w:lang w:val="es-MX"/>
        </w:rPr>
        <w:t>Docente: PATRICIA ANAHI POBLETE</w:t>
      </w:r>
    </w:p>
    <w:p w:rsidR="00702BDB" w:rsidRPr="00DE5A83" w:rsidRDefault="00B75A4C" w:rsidP="00B75A4C">
      <w:pPr>
        <w:spacing w:line="480" w:lineRule="auto"/>
        <w:rPr>
          <w:rFonts w:cstheme="minorHAnsi"/>
          <w:b/>
          <w:bCs/>
          <w:sz w:val="28"/>
          <w:szCs w:val="28"/>
          <w:lang w:val="es-MX"/>
        </w:rPr>
      </w:pPr>
      <w:r>
        <w:rPr>
          <w:b/>
          <w:sz w:val="24"/>
          <w:szCs w:val="24"/>
          <w:u w:val="single"/>
          <w:lang w:val="es-AR"/>
        </w:rPr>
        <w:t>GUIA DE ESTUDIO N°</w:t>
      </w:r>
      <w:proofErr w:type="gramStart"/>
      <w:r>
        <w:rPr>
          <w:b/>
          <w:sz w:val="24"/>
          <w:szCs w:val="24"/>
          <w:u w:val="single"/>
          <w:lang w:val="es-AR"/>
        </w:rPr>
        <w:t>2</w:t>
      </w:r>
      <w:r>
        <w:rPr>
          <w:b/>
          <w:sz w:val="24"/>
          <w:szCs w:val="24"/>
          <w:u w:val="single"/>
          <w:lang w:val="es-AR"/>
        </w:rPr>
        <w:t xml:space="preserve">  </w:t>
      </w:r>
      <w:bookmarkStart w:id="0" w:name="_GoBack"/>
      <w:bookmarkEnd w:id="0"/>
      <w:r w:rsidR="00702BDB" w:rsidRPr="00DE5A83">
        <w:rPr>
          <w:rFonts w:cstheme="minorHAnsi"/>
          <w:bCs/>
          <w:sz w:val="28"/>
          <w:szCs w:val="28"/>
          <w:lang w:val="es-MX"/>
        </w:rPr>
        <w:t>Contenido</w:t>
      </w:r>
      <w:proofErr w:type="gramEnd"/>
      <w:r w:rsidRPr="00DE5A83">
        <w:rPr>
          <w:rFonts w:cstheme="minorHAnsi"/>
          <w:bCs/>
          <w:sz w:val="28"/>
          <w:szCs w:val="28"/>
          <w:lang w:val="es-MX"/>
        </w:rPr>
        <w:t>: “</w:t>
      </w:r>
      <w:r w:rsidR="00702BDB" w:rsidRPr="00DE5A83">
        <w:rPr>
          <w:rFonts w:cstheme="minorHAnsi"/>
          <w:b/>
          <w:bCs/>
          <w:sz w:val="28"/>
          <w:szCs w:val="28"/>
          <w:lang w:val="es-MX"/>
        </w:rPr>
        <w:t xml:space="preserve">EL </w:t>
      </w:r>
      <w:r w:rsidR="0061436C">
        <w:rPr>
          <w:rFonts w:cstheme="minorHAnsi"/>
          <w:b/>
          <w:bCs/>
          <w:sz w:val="28"/>
          <w:szCs w:val="28"/>
          <w:lang w:val="es-MX"/>
        </w:rPr>
        <w:t>comienzo de la existencia</w:t>
      </w:r>
      <w:r>
        <w:rPr>
          <w:rFonts w:cstheme="minorHAnsi"/>
          <w:b/>
          <w:bCs/>
          <w:sz w:val="28"/>
          <w:szCs w:val="28"/>
          <w:lang w:val="es-MX"/>
        </w:rPr>
        <w:t xml:space="preserve"> de la vida humana</w:t>
      </w:r>
      <w:r w:rsidR="00702BDB" w:rsidRPr="00DE5A83">
        <w:rPr>
          <w:rFonts w:cstheme="minorHAnsi"/>
          <w:b/>
          <w:bCs/>
          <w:i/>
          <w:sz w:val="28"/>
          <w:szCs w:val="28"/>
          <w:lang w:val="es-MX"/>
        </w:rPr>
        <w:t>”.</w:t>
      </w:r>
    </w:p>
    <w:p w:rsidR="0061436C" w:rsidRPr="00B75A4C" w:rsidRDefault="0061436C" w:rsidP="0061436C">
      <w:pPr>
        <w:jc w:val="center"/>
        <w:rPr>
          <w:rFonts w:ascii="Century Gothic" w:hAnsi="Century Gothic" w:cstheme="minorHAnsi"/>
          <w:b/>
          <w:i/>
          <w:color w:val="FF0000"/>
          <w:sz w:val="24"/>
          <w:szCs w:val="24"/>
          <w:lang w:val="es-AR"/>
        </w:rPr>
      </w:pPr>
      <w:r w:rsidRPr="00B75A4C">
        <w:rPr>
          <w:rFonts w:ascii="Century Gothic" w:hAnsi="Century Gothic" w:cstheme="minorHAnsi"/>
          <w:b/>
          <w:i/>
          <w:color w:val="FF0000"/>
          <w:sz w:val="24"/>
          <w:szCs w:val="24"/>
          <w:lang w:val="es-AR"/>
        </w:rPr>
        <w:t xml:space="preserve">“Comienza haciendo lo que sea necesario; luego haz lo que sea posible; y de repente estarás haciendo lo imposible.”  </w:t>
      </w:r>
    </w:p>
    <w:p w:rsidR="0061436C" w:rsidRPr="00B75A4C" w:rsidRDefault="0061436C" w:rsidP="0061436C">
      <w:pPr>
        <w:jc w:val="center"/>
        <w:rPr>
          <w:rFonts w:ascii="Century Gothic" w:hAnsi="Century Gothic" w:cstheme="minorHAnsi"/>
          <w:b/>
          <w:i/>
          <w:color w:val="FF0000"/>
          <w:sz w:val="24"/>
          <w:szCs w:val="24"/>
          <w:lang w:val="es-AR"/>
        </w:rPr>
      </w:pPr>
      <w:r w:rsidRPr="00B75A4C">
        <w:rPr>
          <w:rFonts w:ascii="Century Gothic" w:hAnsi="Century Gothic" w:cstheme="minorHAnsi"/>
          <w:b/>
          <w:i/>
          <w:color w:val="FF0000"/>
          <w:sz w:val="24"/>
          <w:szCs w:val="24"/>
          <w:lang w:val="es-AR"/>
        </w:rPr>
        <w:t>San Francisco de Asís</w:t>
      </w:r>
    </w:p>
    <w:p w:rsidR="00157380" w:rsidRDefault="00157380" w:rsidP="00B146B8">
      <w:pPr>
        <w:spacing w:line="480" w:lineRule="auto"/>
        <w:rPr>
          <w:b/>
          <w:sz w:val="24"/>
          <w:szCs w:val="24"/>
          <w:u w:val="single"/>
          <w:lang w:val="es-AR"/>
        </w:rPr>
      </w:pPr>
      <w:r w:rsidRPr="00157380">
        <w:rPr>
          <w:b/>
          <w:sz w:val="24"/>
          <w:szCs w:val="24"/>
          <w:u w:val="single"/>
          <w:lang w:val="es-AR"/>
        </w:rPr>
        <w:t>El comienzo de la persona humana en el Código Civil y Comercial.</w:t>
      </w:r>
    </w:p>
    <w:p w:rsidR="00157380" w:rsidRPr="00157380" w:rsidRDefault="00157380" w:rsidP="00B146B8">
      <w:pPr>
        <w:spacing w:line="480" w:lineRule="auto"/>
        <w:jc w:val="both"/>
        <w:rPr>
          <w:sz w:val="24"/>
          <w:szCs w:val="24"/>
          <w:lang w:val="es-AR"/>
        </w:rPr>
      </w:pPr>
      <w:r w:rsidRPr="00157380">
        <w:rPr>
          <w:sz w:val="24"/>
          <w:szCs w:val="24"/>
          <w:lang w:val="es-AR"/>
        </w:rPr>
        <w:t>Es</w:t>
      </w:r>
      <w:r>
        <w:rPr>
          <w:sz w:val="24"/>
          <w:szCs w:val="24"/>
          <w:lang w:val="es-AR"/>
        </w:rPr>
        <w:t xml:space="preserve"> necesaria </w:t>
      </w:r>
      <w:r w:rsidRPr="00157380">
        <w:rPr>
          <w:sz w:val="24"/>
          <w:szCs w:val="24"/>
          <w:lang w:val="es-AR"/>
        </w:rPr>
        <w:t>analizar el alcance de una de las normas mas</w:t>
      </w:r>
      <w:r>
        <w:rPr>
          <w:sz w:val="24"/>
          <w:szCs w:val="24"/>
          <w:lang w:val="es-AR"/>
        </w:rPr>
        <w:t xml:space="preserve"> </w:t>
      </w:r>
      <w:r w:rsidRPr="00157380">
        <w:rPr>
          <w:sz w:val="24"/>
          <w:szCs w:val="24"/>
          <w:lang w:val="es-AR"/>
        </w:rPr>
        <w:t>debatidas y cuestionadas del nuevo Código Civil y Comercial (en adelante CCYC): el</w:t>
      </w:r>
      <w:r>
        <w:rPr>
          <w:sz w:val="24"/>
          <w:szCs w:val="24"/>
          <w:lang w:val="es-AR"/>
        </w:rPr>
        <w:t xml:space="preserve"> </w:t>
      </w:r>
      <w:r w:rsidRPr="00157380">
        <w:rPr>
          <w:sz w:val="24"/>
          <w:szCs w:val="24"/>
          <w:lang w:val="es-AR"/>
        </w:rPr>
        <w:t>articulo 19 relativo al comienzo de la persona humana, y la consecuente naturaleza</w:t>
      </w:r>
      <w:r>
        <w:rPr>
          <w:sz w:val="24"/>
          <w:szCs w:val="24"/>
          <w:lang w:val="es-AR"/>
        </w:rPr>
        <w:t xml:space="preserve"> </w:t>
      </w:r>
      <w:r w:rsidRPr="00157380">
        <w:rPr>
          <w:sz w:val="24"/>
          <w:szCs w:val="24"/>
          <w:lang w:val="es-AR"/>
        </w:rPr>
        <w:t>del embrión in vitro.</w:t>
      </w:r>
    </w:p>
    <w:p w:rsidR="00157380" w:rsidRPr="00157380" w:rsidRDefault="00157380" w:rsidP="00B146B8">
      <w:pPr>
        <w:spacing w:line="480" w:lineRule="auto"/>
        <w:jc w:val="both"/>
        <w:rPr>
          <w:sz w:val="24"/>
          <w:szCs w:val="24"/>
          <w:lang w:val="es-AR"/>
        </w:rPr>
      </w:pPr>
      <w:r w:rsidRPr="00157380">
        <w:rPr>
          <w:sz w:val="24"/>
          <w:szCs w:val="24"/>
          <w:lang w:val="es-AR"/>
        </w:rPr>
        <w:t>Todo este debate y cuestionamiento se debe a que existen diferentes posturas</w:t>
      </w:r>
      <w:r>
        <w:rPr>
          <w:sz w:val="24"/>
          <w:szCs w:val="24"/>
          <w:lang w:val="es-AR"/>
        </w:rPr>
        <w:t xml:space="preserve"> </w:t>
      </w:r>
      <w:r w:rsidRPr="00157380">
        <w:rPr>
          <w:sz w:val="24"/>
          <w:szCs w:val="24"/>
          <w:lang w:val="es-AR"/>
        </w:rPr>
        <w:t>respecto a cuándo comienza la persona humana, desde quienes consideran que la</w:t>
      </w:r>
      <w:r>
        <w:rPr>
          <w:sz w:val="24"/>
          <w:szCs w:val="24"/>
          <w:lang w:val="es-AR"/>
        </w:rPr>
        <w:t xml:space="preserve"> </w:t>
      </w:r>
      <w:r w:rsidRPr="00157380">
        <w:rPr>
          <w:sz w:val="24"/>
          <w:szCs w:val="24"/>
          <w:lang w:val="es-AR"/>
        </w:rPr>
        <w:t>persona comienza con la fecundación - incluso posiciones más extremas consideran</w:t>
      </w:r>
      <w:r>
        <w:rPr>
          <w:sz w:val="24"/>
          <w:szCs w:val="24"/>
          <w:lang w:val="es-AR"/>
        </w:rPr>
        <w:t xml:space="preserve"> </w:t>
      </w:r>
      <w:r w:rsidRPr="00157380">
        <w:rPr>
          <w:sz w:val="24"/>
          <w:szCs w:val="24"/>
          <w:lang w:val="es-AR"/>
        </w:rPr>
        <w:t>que las células madre embrionarias, por su capacidad de diferenciación, también son</w:t>
      </w:r>
      <w:r>
        <w:rPr>
          <w:sz w:val="24"/>
          <w:szCs w:val="24"/>
          <w:lang w:val="es-AR"/>
        </w:rPr>
        <w:t xml:space="preserve"> </w:t>
      </w:r>
      <w:r w:rsidRPr="00157380">
        <w:rPr>
          <w:sz w:val="24"/>
          <w:szCs w:val="24"/>
          <w:lang w:val="es-AR"/>
        </w:rPr>
        <w:t>personas - hasta aquellos que la ubican en el nacimiento con vida. Lo cierto es que a</w:t>
      </w:r>
      <w:r>
        <w:rPr>
          <w:sz w:val="24"/>
          <w:szCs w:val="24"/>
          <w:lang w:val="es-AR"/>
        </w:rPr>
        <w:t xml:space="preserve"> </w:t>
      </w:r>
      <w:r w:rsidRPr="00157380">
        <w:rPr>
          <w:sz w:val="24"/>
          <w:szCs w:val="24"/>
          <w:lang w:val="es-AR"/>
        </w:rPr>
        <w:t>medida que avancen las tecnologías médicas, los usos potenciales de los embriones</w:t>
      </w:r>
      <w:r>
        <w:rPr>
          <w:sz w:val="24"/>
          <w:szCs w:val="24"/>
          <w:lang w:val="es-AR"/>
        </w:rPr>
        <w:t xml:space="preserve"> </w:t>
      </w:r>
      <w:r w:rsidRPr="00157380">
        <w:rPr>
          <w:sz w:val="24"/>
          <w:szCs w:val="24"/>
          <w:lang w:val="es-AR"/>
        </w:rPr>
        <w:t xml:space="preserve">humanos se amplíen y las </w:t>
      </w:r>
      <w:r w:rsidRPr="00157380">
        <w:rPr>
          <w:sz w:val="24"/>
          <w:szCs w:val="24"/>
          <w:lang w:val="es-AR"/>
        </w:rPr>
        <w:lastRenderedPageBreak/>
        <w:t>formas en las que podemos testear y adaptar un embrión se</w:t>
      </w:r>
      <w:r>
        <w:rPr>
          <w:sz w:val="24"/>
          <w:szCs w:val="24"/>
          <w:lang w:val="es-AR"/>
        </w:rPr>
        <w:t xml:space="preserve"> </w:t>
      </w:r>
      <w:r w:rsidRPr="00157380">
        <w:rPr>
          <w:sz w:val="24"/>
          <w:szCs w:val="24"/>
          <w:lang w:val="es-AR"/>
        </w:rPr>
        <w:t>hagan más numerosas, las discusiones, sin duda, seguirán en aumento.</w:t>
      </w:r>
    </w:p>
    <w:p w:rsidR="00157380" w:rsidRPr="00157380" w:rsidRDefault="00157380" w:rsidP="00B146B8">
      <w:pPr>
        <w:spacing w:line="480" w:lineRule="auto"/>
        <w:jc w:val="both"/>
        <w:rPr>
          <w:sz w:val="24"/>
          <w:szCs w:val="24"/>
          <w:lang w:val="es-AR"/>
        </w:rPr>
      </w:pPr>
      <w:r w:rsidRPr="00157380">
        <w:rPr>
          <w:sz w:val="24"/>
          <w:szCs w:val="24"/>
          <w:lang w:val="es-AR"/>
        </w:rPr>
        <w:t>No obstante, hay que resaltar que estas discusiones, en general, emanan de</w:t>
      </w:r>
      <w:r>
        <w:rPr>
          <w:sz w:val="24"/>
          <w:szCs w:val="24"/>
          <w:lang w:val="es-AR"/>
        </w:rPr>
        <w:t xml:space="preserve"> </w:t>
      </w:r>
      <w:r w:rsidRPr="00157380">
        <w:rPr>
          <w:sz w:val="24"/>
          <w:szCs w:val="24"/>
          <w:lang w:val="es-AR"/>
        </w:rPr>
        <w:t>quienes abordan las cuestiones desde un punto de vista metafísico-teológico, en el que</w:t>
      </w:r>
      <w:r>
        <w:rPr>
          <w:sz w:val="24"/>
          <w:szCs w:val="24"/>
          <w:lang w:val="es-AR"/>
        </w:rPr>
        <w:t xml:space="preserve"> </w:t>
      </w:r>
      <w:r w:rsidRPr="00157380">
        <w:rPr>
          <w:sz w:val="24"/>
          <w:szCs w:val="24"/>
          <w:lang w:val="es-AR"/>
        </w:rPr>
        <w:t>lo que se discute es una cuestión de absolutos.</w:t>
      </w:r>
    </w:p>
    <w:p w:rsidR="00157380" w:rsidRPr="00157380" w:rsidRDefault="003D74C6" w:rsidP="00B146B8">
      <w:pPr>
        <w:spacing w:line="480" w:lineRule="auto"/>
        <w:jc w:val="both"/>
        <w:rPr>
          <w:sz w:val="24"/>
          <w:szCs w:val="24"/>
          <w:lang w:val="es-AR"/>
        </w:rPr>
      </w:pPr>
      <w:r>
        <w:rPr>
          <w:sz w:val="24"/>
          <w:szCs w:val="24"/>
          <w:lang w:val="es-AR"/>
        </w:rPr>
        <w:t>POR ELLO</w:t>
      </w:r>
      <w:r w:rsidR="00157380" w:rsidRPr="00157380">
        <w:rPr>
          <w:sz w:val="24"/>
          <w:szCs w:val="24"/>
          <w:lang w:val="es-AR"/>
        </w:rPr>
        <w:t xml:space="preserve"> se procurará brindar una visión fundada en argumentos</w:t>
      </w:r>
      <w:r>
        <w:rPr>
          <w:sz w:val="24"/>
          <w:szCs w:val="24"/>
          <w:lang w:val="es-AR"/>
        </w:rPr>
        <w:t xml:space="preserve"> </w:t>
      </w:r>
      <w:r w:rsidR="00157380" w:rsidRPr="00157380">
        <w:rPr>
          <w:sz w:val="24"/>
          <w:szCs w:val="24"/>
          <w:lang w:val="es-AR"/>
        </w:rPr>
        <w:t>jurídicos y bioéticos, acordes y propios de una sociedad plural, democrática y liberal.</w:t>
      </w:r>
    </w:p>
    <w:p w:rsidR="00157380" w:rsidRPr="00157380" w:rsidRDefault="00157380" w:rsidP="00B146B8">
      <w:pPr>
        <w:spacing w:line="480" w:lineRule="auto"/>
        <w:jc w:val="both"/>
        <w:rPr>
          <w:sz w:val="24"/>
          <w:szCs w:val="24"/>
          <w:lang w:val="es-AR"/>
        </w:rPr>
      </w:pPr>
      <w:r w:rsidRPr="00157380">
        <w:rPr>
          <w:sz w:val="24"/>
          <w:szCs w:val="24"/>
          <w:lang w:val="es-AR"/>
        </w:rPr>
        <w:t>La naturaleza o status que se le otorga al embrión in vitro tiene consecuencias</w:t>
      </w:r>
      <w:r w:rsidR="003D74C6">
        <w:rPr>
          <w:sz w:val="24"/>
          <w:szCs w:val="24"/>
          <w:lang w:val="es-AR"/>
        </w:rPr>
        <w:t xml:space="preserve"> </w:t>
      </w:r>
      <w:r w:rsidRPr="00157380">
        <w:rPr>
          <w:sz w:val="24"/>
          <w:szCs w:val="24"/>
          <w:lang w:val="es-AR"/>
        </w:rPr>
        <w:t>inmediatas en lo que respecta a las técnicas de reproducción humana asistida (en</w:t>
      </w:r>
      <w:r w:rsidR="003D74C6">
        <w:rPr>
          <w:sz w:val="24"/>
          <w:szCs w:val="24"/>
          <w:lang w:val="es-AR"/>
        </w:rPr>
        <w:t xml:space="preserve"> </w:t>
      </w:r>
      <w:r w:rsidRPr="00157380">
        <w:rPr>
          <w:sz w:val="24"/>
          <w:szCs w:val="24"/>
          <w:lang w:val="es-AR"/>
        </w:rPr>
        <w:t>adelante, TRA) que ofrece o puede ofrecer cada sociedad y el alcance de la</w:t>
      </w:r>
      <w:r w:rsidR="003D74C6">
        <w:rPr>
          <w:sz w:val="24"/>
          <w:szCs w:val="24"/>
          <w:lang w:val="es-AR"/>
        </w:rPr>
        <w:t xml:space="preserve"> </w:t>
      </w:r>
      <w:r w:rsidRPr="00157380">
        <w:rPr>
          <w:sz w:val="24"/>
          <w:szCs w:val="24"/>
          <w:lang w:val="es-AR"/>
        </w:rPr>
        <w:t>investigación. Ante la falta de acuerdo científico y ontológico, el análisis debe</w:t>
      </w:r>
      <w:r w:rsidR="003D74C6">
        <w:rPr>
          <w:sz w:val="24"/>
          <w:szCs w:val="24"/>
          <w:lang w:val="es-AR"/>
        </w:rPr>
        <w:t xml:space="preserve"> </w:t>
      </w:r>
      <w:r w:rsidRPr="00157380">
        <w:rPr>
          <w:sz w:val="24"/>
          <w:szCs w:val="24"/>
          <w:lang w:val="es-AR"/>
        </w:rPr>
        <w:t>centrarse en el derecho positivo.</w:t>
      </w:r>
    </w:p>
    <w:p w:rsidR="00157380" w:rsidRPr="003D74C6" w:rsidRDefault="00157380" w:rsidP="00B146B8">
      <w:pPr>
        <w:spacing w:line="480" w:lineRule="auto"/>
        <w:jc w:val="both"/>
        <w:rPr>
          <w:b/>
          <w:sz w:val="24"/>
          <w:szCs w:val="24"/>
          <w:u w:val="single"/>
          <w:lang w:val="es-AR"/>
        </w:rPr>
      </w:pPr>
      <w:r w:rsidRPr="003D74C6">
        <w:rPr>
          <w:b/>
          <w:sz w:val="24"/>
          <w:szCs w:val="24"/>
          <w:u w:val="single"/>
          <w:lang w:val="es-AR"/>
        </w:rPr>
        <w:t xml:space="preserve"> Una aclaración previa: vida y persona</w:t>
      </w:r>
    </w:p>
    <w:p w:rsidR="00900C92" w:rsidRDefault="003D74C6" w:rsidP="00B146B8">
      <w:pPr>
        <w:spacing w:line="480" w:lineRule="auto"/>
        <w:jc w:val="both"/>
        <w:rPr>
          <w:lang w:val="es-AR"/>
        </w:rPr>
      </w:pPr>
      <w:r>
        <w:rPr>
          <w:sz w:val="24"/>
          <w:szCs w:val="24"/>
          <w:lang w:val="es-AR"/>
        </w:rPr>
        <w:t>E</w:t>
      </w:r>
      <w:r w:rsidR="00157380" w:rsidRPr="00157380">
        <w:rPr>
          <w:sz w:val="24"/>
          <w:szCs w:val="24"/>
          <w:lang w:val="es-AR"/>
        </w:rPr>
        <w:t>l comienzo de la existencia de la persona y el</w:t>
      </w:r>
      <w:r>
        <w:rPr>
          <w:sz w:val="24"/>
          <w:szCs w:val="24"/>
          <w:lang w:val="es-AR"/>
        </w:rPr>
        <w:t xml:space="preserve"> </w:t>
      </w:r>
      <w:r w:rsidR="00157380" w:rsidRPr="00157380">
        <w:rPr>
          <w:sz w:val="24"/>
          <w:szCs w:val="24"/>
          <w:lang w:val="es-AR"/>
        </w:rPr>
        <w:t>comienzo de la vida son conceptos sustancialmente diferentes.</w:t>
      </w:r>
      <w:r w:rsidR="00157380" w:rsidRPr="00157380">
        <w:rPr>
          <w:sz w:val="24"/>
          <w:szCs w:val="24"/>
          <w:lang w:val="es-AR"/>
        </w:rPr>
        <w:cr/>
      </w:r>
      <w:r w:rsidR="0073612D" w:rsidRPr="0073612D">
        <w:rPr>
          <w:lang w:val="es-AR"/>
        </w:rPr>
        <w:t xml:space="preserve">En primer </w:t>
      </w:r>
      <w:r w:rsidR="00900C92" w:rsidRPr="0073612D">
        <w:rPr>
          <w:lang w:val="es-AR"/>
        </w:rPr>
        <w:t>lugar,</w:t>
      </w:r>
      <w:r w:rsidR="0073612D" w:rsidRPr="0073612D">
        <w:rPr>
          <w:lang w:val="es-AR"/>
        </w:rPr>
        <w:t xml:space="preserve"> cabe decir que la cuestión sobre el inicio de la vida humana es uno de los interrogantes más complejos sobre los que aún no existe consenso en ningún campo y disciplina. Al respecto, la Corte IDH en el caso “Artavia Murillo” que se verá luego, sostuvo que “se trata de una cuestión valorada de diversas formas desde una perspectiva biológica, médica, ética, moral,</w:t>
      </w:r>
      <w:r w:rsidR="0073612D">
        <w:rPr>
          <w:lang w:val="es-AR"/>
        </w:rPr>
        <w:t xml:space="preserve"> </w:t>
      </w:r>
      <w:r w:rsidR="0073612D" w:rsidRPr="0073612D">
        <w:rPr>
          <w:lang w:val="es-AR"/>
        </w:rPr>
        <w:t xml:space="preserve">filosófica y religiosa”, y coincidió con tribunales internacionales y nacionales, 5“en el sentido de que no existe una definición consensuada sobre el inicio de la vida”. </w:t>
      </w:r>
    </w:p>
    <w:p w:rsidR="00900C92" w:rsidRDefault="00900C92" w:rsidP="00B146B8">
      <w:pPr>
        <w:spacing w:line="480" w:lineRule="auto"/>
        <w:jc w:val="both"/>
        <w:rPr>
          <w:lang w:val="es-AR"/>
        </w:rPr>
      </w:pPr>
      <w:r w:rsidRPr="0073612D">
        <w:rPr>
          <w:lang w:val="es-AR"/>
        </w:rPr>
        <w:lastRenderedPageBreak/>
        <w:t>Pero,</w:t>
      </w:r>
      <w:r w:rsidR="0073612D" w:rsidRPr="0073612D">
        <w:rPr>
          <w:lang w:val="es-AR"/>
        </w:rPr>
        <w:t xml:space="preserve"> además, el concepto de “vida” puede aplicarse tanto a células individuales como al conjunto de células que forman un embrión o un adulto. Por consiguiente, la gameta femenina (óvulo), la masculina (espermatozoide), y el cigoto que se forma por la unión de ambas, están vivos.</w:t>
      </w:r>
    </w:p>
    <w:p w:rsidR="002E458E" w:rsidRDefault="0073612D" w:rsidP="00B146B8">
      <w:pPr>
        <w:spacing w:line="480" w:lineRule="auto"/>
        <w:jc w:val="both"/>
        <w:rPr>
          <w:lang w:val="es-AR"/>
        </w:rPr>
      </w:pPr>
      <w:r w:rsidRPr="0073612D">
        <w:rPr>
          <w:lang w:val="es-AR"/>
        </w:rPr>
        <w:t xml:space="preserve"> Quizás la forma más sencilla de comprender la diferencia entre el comienzo de la existencia de la persona y el comienzo de la vida es compararlas con el concepto inverso, es decir la muerte o finalización. La ciencia y la ley establecen criterios estrictos para definir la muerte o finalización de la existencia de una persona aun cuando gran parte de sus células sigan vivas por un tiempo no despreciable. Concretamente, imaginemos un caso de muerte encefálica. Obviamente en ese cuerpo hay muchas células vivas, incluso el corazón puede seguir latiendo (precisamente a los efectos de un trasplante, fin </w:t>
      </w:r>
      <w:r w:rsidR="002E458E" w:rsidRPr="0073612D">
        <w:rPr>
          <w:lang w:val="es-AR"/>
        </w:rPr>
        <w:t>último</w:t>
      </w:r>
      <w:r w:rsidRPr="0073612D">
        <w:rPr>
          <w:lang w:val="es-AR"/>
        </w:rPr>
        <w:t xml:space="preserve"> del establecimiento </w:t>
      </w:r>
      <w:r w:rsidR="002E458E" w:rsidRPr="0073612D">
        <w:rPr>
          <w:lang w:val="es-AR"/>
        </w:rPr>
        <w:t>médico</w:t>
      </w:r>
      <w:r w:rsidRPr="0073612D">
        <w:rPr>
          <w:lang w:val="es-AR"/>
        </w:rPr>
        <w:t xml:space="preserve"> del criterio de muerte encefálica), no </w:t>
      </w:r>
      <w:r w:rsidR="002E458E" w:rsidRPr="0073612D">
        <w:rPr>
          <w:lang w:val="es-AR"/>
        </w:rPr>
        <w:t>obstante,</w:t>
      </w:r>
      <w:r w:rsidRPr="0073612D">
        <w:rPr>
          <w:lang w:val="es-AR"/>
        </w:rPr>
        <w:t xml:space="preserve"> jurídicamente la persona está muerta. </w:t>
      </w:r>
    </w:p>
    <w:p w:rsidR="002E458E" w:rsidRDefault="0073612D" w:rsidP="00B146B8">
      <w:pPr>
        <w:spacing w:line="480" w:lineRule="auto"/>
        <w:jc w:val="both"/>
        <w:rPr>
          <w:lang w:val="es-AR"/>
        </w:rPr>
      </w:pPr>
      <w:r w:rsidRPr="0073612D">
        <w:rPr>
          <w:lang w:val="es-AR"/>
        </w:rPr>
        <w:t>Hecha la distinción, la función de un código civil es establecer desde cuándo comienza jurídicamente la persona, el régimen de la filiación y las consecuencias o</w:t>
      </w:r>
      <w:r w:rsidR="002E458E">
        <w:rPr>
          <w:lang w:val="es-AR"/>
        </w:rPr>
        <w:t xml:space="preserve"> </w:t>
      </w:r>
      <w:r w:rsidR="002E458E" w:rsidRPr="002E458E">
        <w:rPr>
          <w:lang w:val="es-AR"/>
        </w:rPr>
        <w:t xml:space="preserve">efectos de la personalidad y de los lazos jurídicos creados (derecho sucesorio, derecho de alimentos, etc.). ¿Acaso un embrión in vitro podría heredar? ¿O se podría reclamar alimentos en su favor? </w:t>
      </w:r>
    </w:p>
    <w:p w:rsidR="00140C5C" w:rsidRDefault="002E458E" w:rsidP="00B146B8">
      <w:pPr>
        <w:spacing w:line="480" w:lineRule="auto"/>
        <w:jc w:val="both"/>
        <w:rPr>
          <w:lang w:val="es-AR"/>
        </w:rPr>
      </w:pPr>
      <w:r>
        <w:rPr>
          <w:lang w:val="es-AR"/>
        </w:rPr>
        <w:t>E</w:t>
      </w:r>
      <w:r w:rsidRPr="002E458E">
        <w:rPr>
          <w:lang w:val="es-AR"/>
        </w:rPr>
        <w:t xml:space="preserve">l comienzo de la existencia de la persona humana fue “el” tema más candente que generó el nuevo Código Civil y Comercial, aprobado por ley 26994 del 8 de octubre de 2014. </w:t>
      </w:r>
    </w:p>
    <w:p w:rsidR="00A74E52" w:rsidRDefault="002E458E" w:rsidP="00B146B8">
      <w:pPr>
        <w:spacing w:line="480" w:lineRule="auto"/>
        <w:jc w:val="both"/>
        <w:rPr>
          <w:lang w:val="es-AR"/>
        </w:rPr>
      </w:pPr>
      <w:r w:rsidRPr="002E458E">
        <w:rPr>
          <w:lang w:val="es-AR"/>
        </w:rPr>
        <w:t xml:space="preserve">Tan es así, que la redacción del artículo 19 varió en casi todas las etapas por las que atravesó el proyecto. Finalizada la primera etapa de redacción por parte de la comisión creada por decreto 191/2011 e integrada por el Dr. </w:t>
      </w:r>
      <w:proofErr w:type="spellStart"/>
      <w:r w:rsidRPr="002E458E">
        <w:rPr>
          <w:lang w:val="es-AR"/>
        </w:rPr>
        <w:t>Lorenzetti</w:t>
      </w:r>
      <w:proofErr w:type="spellEnd"/>
      <w:r w:rsidRPr="002E458E">
        <w:rPr>
          <w:lang w:val="es-AR"/>
        </w:rPr>
        <w:t xml:space="preserve">, y las doctoras </w:t>
      </w:r>
      <w:proofErr w:type="spellStart"/>
      <w:r w:rsidRPr="002E458E">
        <w:rPr>
          <w:lang w:val="es-AR"/>
        </w:rPr>
        <w:t>Highton</w:t>
      </w:r>
      <w:proofErr w:type="spellEnd"/>
      <w:r w:rsidRPr="002E458E">
        <w:rPr>
          <w:lang w:val="es-AR"/>
        </w:rPr>
        <w:t xml:space="preserve"> de Nolasco y </w:t>
      </w:r>
      <w:proofErr w:type="spellStart"/>
      <w:r w:rsidRPr="002E458E">
        <w:rPr>
          <w:lang w:val="es-AR"/>
        </w:rPr>
        <w:t>Kemelmajer</w:t>
      </w:r>
      <w:proofErr w:type="spellEnd"/>
      <w:r w:rsidRPr="002E458E">
        <w:rPr>
          <w:lang w:val="es-AR"/>
        </w:rPr>
        <w:t xml:space="preserve"> de </w:t>
      </w:r>
      <w:proofErr w:type="spellStart"/>
      <w:r w:rsidRPr="002E458E">
        <w:rPr>
          <w:lang w:val="es-AR"/>
        </w:rPr>
        <w:t>Carlucci</w:t>
      </w:r>
      <w:proofErr w:type="spellEnd"/>
      <w:r w:rsidRPr="002E458E">
        <w:rPr>
          <w:lang w:val="es-AR"/>
        </w:rPr>
        <w:t xml:space="preserve">, que concluyó con la entrega del proyecto a la presidenta en marzo de 2012, el artículo 19 </w:t>
      </w:r>
      <w:r w:rsidRPr="002E458E">
        <w:rPr>
          <w:lang w:val="es-AR"/>
        </w:rPr>
        <w:lastRenderedPageBreak/>
        <w:t>establecía: “</w:t>
      </w:r>
      <w:r w:rsidRPr="00916D43">
        <w:rPr>
          <w:b/>
          <w:lang w:val="es-AR"/>
        </w:rPr>
        <w:t>La existencia de la persona humana comienza con la concepción en el seno materno. En el caso de técnicas de reproducción humana asistida, comienza con la implantación del embrión en la mujer, sin perjuicio de lo que prevea la ley especial para la protección del embrión no implantado.</w:t>
      </w:r>
      <w:r w:rsidRPr="002E458E">
        <w:rPr>
          <w:lang w:val="es-AR"/>
        </w:rPr>
        <w:t>”</w:t>
      </w:r>
    </w:p>
    <w:p w:rsidR="00916D43" w:rsidRDefault="002E458E" w:rsidP="00B146B8">
      <w:pPr>
        <w:spacing w:line="480" w:lineRule="auto"/>
        <w:jc w:val="both"/>
        <w:rPr>
          <w:lang w:val="es-AR"/>
        </w:rPr>
      </w:pPr>
      <w:r w:rsidRPr="002E458E">
        <w:rPr>
          <w:lang w:val="es-AR"/>
        </w:rPr>
        <w:t xml:space="preserve">Cabe destacar que entre las diferentes instancias, </w:t>
      </w:r>
      <w:r w:rsidRPr="00916D43">
        <w:rPr>
          <w:b/>
          <w:lang w:val="es-AR"/>
        </w:rPr>
        <w:t xml:space="preserve">se sancionó la ley de identidad de género que significó el paso del paradigma medico psiquiátrico al de los derechos humanos, de modo que esta ley, la más liberal del </w:t>
      </w:r>
      <w:proofErr w:type="gramStart"/>
      <w:r w:rsidRPr="00916D43">
        <w:rPr>
          <w:b/>
          <w:lang w:val="es-AR"/>
        </w:rPr>
        <w:t xml:space="preserve">globo </w:t>
      </w:r>
      <w:r w:rsidRPr="002E458E">
        <w:rPr>
          <w:lang w:val="es-AR"/>
        </w:rPr>
        <w:t>,</w:t>
      </w:r>
      <w:proofErr w:type="gramEnd"/>
      <w:r w:rsidRPr="002E458E">
        <w:rPr>
          <w:lang w:val="es-AR"/>
        </w:rPr>
        <w:t xml:space="preserve"> se funda en dos decisiones de política legislativa centrales:</w:t>
      </w:r>
    </w:p>
    <w:p w:rsidR="00916D43" w:rsidRDefault="002E458E" w:rsidP="00B146B8">
      <w:pPr>
        <w:spacing w:line="480" w:lineRule="auto"/>
        <w:jc w:val="both"/>
        <w:rPr>
          <w:lang w:val="es-AR"/>
        </w:rPr>
      </w:pPr>
      <w:r w:rsidRPr="002E458E">
        <w:rPr>
          <w:lang w:val="es-AR"/>
        </w:rPr>
        <w:t xml:space="preserve"> 1) se permite el cambio de </w:t>
      </w:r>
      <w:r w:rsidR="00916D43" w:rsidRPr="002E458E">
        <w:rPr>
          <w:lang w:val="es-AR"/>
        </w:rPr>
        <w:t>género</w:t>
      </w:r>
      <w:r w:rsidRPr="002E458E">
        <w:rPr>
          <w:lang w:val="es-AR"/>
        </w:rPr>
        <w:t xml:space="preserve"> en el registro civil sin necesidad de acreditar ningún requisito, expresamente se manifiesta la no necesidad previa de reasignación corporal o física</w:t>
      </w:r>
      <w:r w:rsidR="00916D43">
        <w:rPr>
          <w:lang w:val="es-AR"/>
        </w:rPr>
        <w:t xml:space="preserve"> </w:t>
      </w:r>
      <w:r w:rsidR="00916D43" w:rsidRPr="00916D43">
        <w:rPr>
          <w:lang w:val="es-AR"/>
        </w:rPr>
        <w:t>alguna y</w:t>
      </w:r>
    </w:p>
    <w:p w:rsidR="00916D43" w:rsidRDefault="00916D43" w:rsidP="00B146B8">
      <w:pPr>
        <w:spacing w:line="480" w:lineRule="auto"/>
        <w:jc w:val="both"/>
        <w:rPr>
          <w:lang w:val="es-AR"/>
        </w:rPr>
      </w:pPr>
      <w:r w:rsidRPr="00916D43">
        <w:rPr>
          <w:lang w:val="es-AR"/>
        </w:rPr>
        <w:t xml:space="preserve"> 2) la autoridad pública que interviene es administrativa (registro civil) y no judicial. </w:t>
      </w:r>
    </w:p>
    <w:p w:rsidR="00A74E52" w:rsidRDefault="00916D43" w:rsidP="00B146B8">
      <w:pPr>
        <w:spacing w:line="480" w:lineRule="auto"/>
        <w:jc w:val="both"/>
        <w:rPr>
          <w:lang w:val="es-AR"/>
        </w:rPr>
      </w:pPr>
      <w:r w:rsidRPr="00916D43">
        <w:rPr>
          <w:b/>
          <w:lang w:val="es-AR"/>
        </w:rPr>
        <w:t xml:space="preserve">La petición de cambio de identidad de género se sustenta en la mera voluntad de la persona, es decir, en la noción de “identidad </w:t>
      </w:r>
      <w:proofErr w:type="spellStart"/>
      <w:r w:rsidRPr="00916D43">
        <w:rPr>
          <w:b/>
          <w:lang w:val="es-AR"/>
        </w:rPr>
        <w:t>autopercibida</w:t>
      </w:r>
      <w:proofErr w:type="spellEnd"/>
      <w:r w:rsidRPr="00916D43">
        <w:rPr>
          <w:b/>
          <w:lang w:val="es-AR"/>
        </w:rPr>
        <w:t>”</w:t>
      </w:r>
      <w:r w:rsidRPr="00916D43">
        <w:rPr>
          <w:lang w:val="es-AR"/>
        </w:rPr>
        <w:t xml:space="preserve">. </w:t>
      </w:r>
    </w:p>
    <w:p w:rsidR="00B42E1C" w:rsidRDefault="00D11D35" w:rsidP="00B146B8">
      <w:pPr>
        <w:spacing w:line="480" w:lineRule="auto"/>
        <w:jc w:val="both"/>
        <w:rPr>
          <w:lang w:val="es-AR"/>
        </w:rPr>
      </w:pPr>
      <w:r w:rsidRPr="00D11D35">
        <w:rPr>
          <w:lang w:val="es-AR"/>
        </w:rPr>
        <w:t xml:space="preserve">La “sistema” del derecho argentino. </w:t>
      </w:r>
    </w:p>
    <w:p w:rsidR="002D53DC" w:rsidRDefault="00D11D35" w:rsidP="00B146B8">
      <w:pPr>
        <w:spacing w:line="480" w:lineRule="auto"/>
        <w:jc w:val="both"/>
        <w:rPr>
          <w:lang w:val="es-AR"/>
        </w:rPr>
      </w:pPr>
      <w:r w:rsidRPr="00D11D35">
        <w:rPr>
          <w:lang w:val="es-AR"/>
        </w:rPr>
        <w:t xml:space="preserve">Sin perjuicio de lo resuelto en el caso Artavia, que zanja la cuestión, existen otros argumentos de peso jurídico que confirman la no personalidad del embrión in vitro. El art. 19 es parte de un Código por lo que corresponde efectuar una interpretación sistémica. </w:t>
      </w:r>
    </w:p>
    <w:p w:rsidR="002D53DC" w:rsidRDefault="00D11D35" w:rsidP="00B146B8">
      <w:pPr>
        <w:spacing w:line="480" w:lineRule="auto"/>
        <w:jc w:val="both"/>
        <w:rPr>
          <w:lang w:val="es-AR"/>
        </w:rPr>
      </w:pPr>
      <w:r w:rsidRPr="00D11D35">
        <w:rPr>
          <w:lang w:val="es-AR"/>
        </w:rPr>
        <w:t xml:space="preserve">Es que el art. 20, el siguiente, dice que por concepción se entiende el lapso entre el mínimo y máximo del embarazo, y esto sucede cuando el embrión está dentro de una persona y se implanta, sólo allí puede haber embarazo. </w:t>
      </w:r>
    </w:p>
    <w:p w:rsidR="002D53DC" w:rsidRDefault="00D11D35" w:rsidP="00B146B8">
      <w:pPr>
        <w:spacing w:line="480" w:lineRule="auto"/>
        <w:jc w:val="both"/>
        <w:rPr>
          <w:lang w:val="es-AR"/>
        </w:rPr>
      </w:pPr>
      <w:r w:rsidRPr="00D11D35">
        <w:rPr>
          <w:lang w:val="es-AR"/>
        </w:rPr>
        <w:lastRenderedPageBreak/>
        <w:t>A su vez, el art. 21 dice que todos los derechos y obligaciones del concebido o implantado en la persona quedan irrevocablemente adquiridos cuando la persona nace con vida, aludiéndose expresamente a la implantación.</w:t>
      </w:r>
    </w:p>
    <w:p w:rsidR="002D53DC" w:rsidRDefault="00D11D35" w:rsidP="00B146B8">
      <w:pPr>
        <w:spacing w:line="480" w:lineRule="auto"/>
        <w:jc w:val="both"/>
        <w:rPr>
          <w:lang w:val="es-AR"/>
        </w:rPr>
      </w:pPr>
      <w:r w:rsidRPr="00D11D35">
        <w:rPr>
          <w:lang w:val="es-AR"/>
        </w:rPr>
        <w:t xml:space="preserve"> A esto se suma el art. 561 que sostiene que “El consentimiento es libremente revocable mientras no se haya producido la concepción en la persona o la implantación del embrión”, de lo que se desprende sin dudas que el embrión no es persona, porque de serlo, la revocación del consentimiento se permitiría hasta la fecundación, y no hasta el implante. </w:t>
      </w:r>
    </w:p>
    <w:p w:rsidR="002D53DC" w:rsidRDefault="00D11D35" w:rsidP="00B146B8">
      <w:pPr>
        <w:spacing w:line="480" w:lineRule="auto"/>
        <w:jc w:val="both"/>
        <w:rPr>
          <w:lang w:val="es-AR"/>
        </w:rPr>
      </w:pPr>
      <w:r w:rsidRPr="00D11D35">
        <w:rPr>
          <w:lang w:val="es-AR"/>
        </w:rPr>
        <w:t xml:space="preserve">Sin perjuicio de lo dicho, y lo que es más elocuente aún, es que la disposición transitoria segunda dice que la protección del embrión no implantado se reserva para una ley especial, por lo tanto, se deriva que el embrión no implantado no es persona, de lo contrario, estaría regulado en el propio texto del Código Civil y no en una ley distinta y separada de éste. </w:t>
      </w:r>
    </w:p>
    <w:p w:rsidR="00A74E52" w:rsidRDefault="00D11D35" w:rsidP="00B146B8">
      <w:pPr>
        <w:spacing w:line="480" w:lineRule="auto"/>
        <w:jc w:val="both"/>
        <w:rPr>
          <w:lang w:val="es-AR"/>
        </w:rPr>
      </w:pPr>
      <w:r w:rsidRPr="00D11D35">
        <w:rPr>
          <w:lang w:val="es-AR"/>
        </w:rPr>
        <w:t xml:space="preserve">Por </w:t>
      </w:r>
      <w:r w:rsidR="002D53DC" w:rsidRPr="00D11D35">
        <w:rPr>
          <w:lang w:val="es-AR"/>
        </w:rPr>
        <w:t>último</w:t>
      </w:r>
      <w:r w:rsidRPr="00D11D35">
        <w:rPr>
          <w:lang w:val="es-AR"/>
        </w:rPr>
        <w:t xml:space="preserve">, el nuevo Código regula la filiación derivada, con lo que difícilmente para el CCYC el embrión puede considerarse persona. Esto se condice con lo dispuesto por la ley 26862, vigente en nuestro país, que permite la </w:t>
      </w:r>
      <w:proofErr w:type="spellStart"/>
      <w:r w:rsidRPr="00D11D35">
        <w:rPr>
          <w:lang w:val="es-AR"/>
        </w:rPr>
        <w:t>crioconservación</w:t>
      </w:r>
      <w:proofErr w:type="spellEnd"/>
      <w:r w:rsidRPr="00D11D35">
        <w:rPr>
          <w:lang w:val="es-AR"/>
        </w:rPr>
        <w:t xml:space="preserve"> de embriones, la donación de embriones y la revocación del consentimiento hasta el momento del implante. </w:t>
      </w:r>
      <w:r w:rsidRPr="002D53DC">
        <w:rPr>
          <w:u w:val="single"/>
          <w:lang w:val="es-AR"/>
        </w:rPr>
        <w:t>Precisamente, si esta ley considerara persona al embrión no permitiría ninguno de estos supuestos. Todo esto genera un sistema cuya conclusión no puede ser otra que la no personalidad del embrión in vitro</w:t>
      </w:r>
      <w:r w:rsidRPr="00D11D35">
        <w:rPr>
          <w:lang w:val="es-AR"/>
        </w:rPr>
        <w:t xml:space="preserve">. </w:t>
      </w:r>
    </w:p>
    <w:p w:rsidR="00A74E52" w:rsidRDefault="00D11D35" w:rsidP="00B146B8">
      <w:pPr>
        <w:spacing w:line="480" w:lineRule="auto"/>
        <w:jc w:val="both"/>
        <w:rPr>
          <w:lang w:val="es-AR"/>
        </w:rPr>
      </w:pPr>
      <w:r w:rsidRPr="00D11D35">
        <w:rPr>
          <w:lang w:val="es-AR"/>
        </w:rPr>
        <w:t xml:space="preserve">Y este arco se cierra con el resonado fallo “Artavia Murillo y otros contra Costa Rica” del 28/11/2012 de la Corte Interamericana de Derechos Humanos. </w:t>
      </w:r>
    </w:p>
    <w:p w:rsidR="00617A4B" w:rsidRDefault="002D53DC" w:rsidP="00B146B8">
      <w:pPr>
        <w:spacing w:line="480" w:lineRule="auto"/>
        <w:jc w:val="both"/>
        <w:rPr>
          <w:lang w:val="es-AR"/>
        </w:rPr>
      </w:pPr>
      <w:r w:rsidRPr="002D53DC">
        <w:rPr>
          <w:lang w:val="es-AR"/>
        </w:rPr>
        <w:t xml:space="preserve">Metodológicamente, esa protección debe estar regulada en la ley especial, tal como sucede en numerosas leyes del derecho comparado que, incluso por mandato legislativo, deben ser revisadas </w:t>
      </w:r>
      <w:r w:rsidRPr="002D53DC">
        <w:rPr>
          <w:lang w:val="es-AR"/>
        </w:rPr>
        <w:lastRenderedPageBreak/>
        <w:t xml:space="preserve">periódicamente. </w:t>
      </w:r>
      <w:proofErr w:type="spellStart"/>
      <w:r w:rsidRPr="002D53DC">
        <w:rPr>
          <w:lang w:val="es-AR"/>
        </w:rPr>
        <w:t>Labrousse</w:t>
      </w:r>
      <w:proofErr w:type="spellEnd"/>
      <w:r w:rsidRPr="002D53DC">
        <w:rPr>
          <w:lang w:val="es-AR"/>
        </w:rPr>
        <w:t xml:space="preserve"> </w:t>
      </w:r>
      <w:proofErr w:type="spellStart"/>
      <w:r w:rsidRPr="002D53DC">
        <w:rPr>
          <w:lang w:val="es-AR"/>
        </w:rPr>
        <w:t>Riou</w:t>
      </w:r>
      <w:proofErr w:type="spellEnd"/>
      <w:r w:rsidRPr="002D53DC">
        <w:rPr>
          <w:lang w:val="es-AR"/>
        </w:rPr>
        <w:t xml:space="preserve"> señala que el embrión humano es una nueva realidad para la ley que debe juzgarla, no por lo que representa ontológicamente sino por lo que es lícito o ilícito hacer con esta realidad. </w:t>
      </w:r>
    </w:p>
    <w:p w:rsidR="00B146B8" w:rsidRDefault="00617A4B" w:rsidP="00B146B8">
      <w:pPr>
        <w:spacing w:line="480" w:lineRule="auto"/>
        <w:jc w:val="both"/>
        <w:rPr>
          <w:lang w:val="es-AR"/>
        </w:rPr>
      </w:pPr>
      <w:r>
        <w:rPr>
          <w:lang w:val="es-AR"/>
        </w:rPr>
        <w:t>Q</w:t>
      </w:r>
      <w:r w:rsidR="002D53DC" w:rsidRPr="002D53DC">
        <w:rPr>
          <w:lang w:val="es-AR"/>
        </w:rPr>
        <w:t xml:space="preserve">ué es lícito o ilícito hacer con esta realidad, </w:t>
      </w:r>
      <w:r>
        <w:rPr>
          <w:lang w:val="es-AR"/>
        </w:rPr>
        <w:t xml:space="preserve">lo que </w:t>
      </w:r>
      <w:r w:rsidR="002D53DC" w:rsidRPr="002D53DC">
        <w:rPr>
          <w:lang w:val="es-AR"/>
        </w:rPr>
        <w:t xml:space="preserve">justifica la existencia de normas que limiten el uso y la destrucción de embriones en investigaciones que importen una promesa razonable de curar o aliviar una grave enfermedad o el sufrimiento humano, así como los procedimientos para asegurar que se respeten estos lineamientos. </w:t>
      </w:r>
    </w:p>
    <w:p w:rsidR="00617A4B" w:rsidRDefault="002D53DC" w:rsidP="00B146B8">
      <w:pPr>
        <w:spacing w:line="480" w:lineRule="auto"/>
        <w:jc w:val="both"/>
        <w:rPr>
          <w:lang w:val="es-AR"/>
        </w:rPr>
      </w:pPr>
      <w:r w:rsidRPr="002D53DC">
        <w:rPr>
          <w:lang w:val="es-AR"/>
        </w:rPr>
        <w:t>Por lo tanto, si se tomó —como en el art. 19 - la decisión de política pública que importa reconocer que l</w:t>
      </w:r>
      <w:r w:rsidR="00B146B8">
        <w:rPr>
          <w:lang w:val="es-AR"/>
        </w:rPr>
        <w:t xml:space="preserve">os embriones humanos tienen un </w:t>
      </w:r>
      <w:r w:rsidRPr="002D53DC">
        <w:rPr>
          <w:lang w:val="es-AR"/>
        </w:rPr>
        <w:t xml:space="preserve">status moral intermedio y, por ende, exigen un respeto especial, se debe aprobar una regulación apropiada. En esta regulación, esta protección debería concretarse, entre otras cosas, no sólo en la prohibición de crear embriones humanos </w:t>
      </w:r>
      <w:proofErr w:type="spellStart"/>
      <w:r w:rsidRPr="002D53DC">
        <w:rPr>
          <w:lang w:val="es-AR"/>
        </w:rPr>
        <w:t>gaméticos</w:t>
      </w:r>
      <w:proofErr w:type="spellEnd"/>
      <w:r w:rsidRPr="002D53DC">
        <w:rPr>
          <w:lang w:val="es-AR"/>
        </w:rPr>
        <w:t xml:space="preserve"> con otro fin que no sea el de la reproducción humana o el de investigación, o la prohibición de crear embriones somáticos con fines reproductivos - distinto es el caso de los embriones somáticos creados por transferencia nuclear mediante clonación terapéutica que </w:t>
      </w:r>
      <w:r w:rsidR="00617A4B">
        <w:rPr>
          <w:lang w:val="es-AR"/>
        </w:rPr>
        <w:t>sí deberían permitirse</w:t>
      </w:r>
      <w:r w:rsidRPr="002D53DC">
        <w:rPr>
          <w:lang w:val="es-AR"/>
        </w:rPr>
        <w:t xml:space="preserve"> sino también en la regulación taxativa de los destinos de los embriones sobrantes </w:t>
      </w:r>
      <w:proofErr w:type="spellStart"/>
      <w:r w:rsidRPr="002D53DC">
        <w:rPr>
          <w:lang w:val="es-AR"/>
        </w:rPr>
        <w:t>crioconservados</w:t>
      </w:r>
      <w:proofErr w:type="spellEnd"/>
      <w:r w:rsidRPr="002D53DC">
        <w:rPr>
          <w:lang w:val="es-AR"/>
        </w:rPr>
        <w:t xml:space="preserve"> que – al día de hoy, </w:t>
      </w:r>
      <w:proofErr w:type="spellStart"/>
      <w:r w:rsidRPr="002D53DC">
        <w:rPr>
          <w:lang w:val="es-AR"/>
        </w:rPr>
        <w:t>segun</w:t>
      </w:r>
      <w:proofErr w:type="spellEnd"/>
      <w:r w:rsidRPr="002D53DC">
        <w:rPr>
          <w:lang w:val="es-AR"/>
        </w:rPr>
        <w:t xml:space="preserve"> el estado actual de la ciencia - no pueden ser otros que su utilización por los titulares, la donación con fines reproductivos, la donación con fines de investigación, o el cese de su conservación sin otra utilización.</w:t>
      </w:r>
    </w:p>
    <w:p w:rsidR="00617A4B" w:rsidRDefault="002D53DC" w:rsidP="00B146B8">
      <w:pPr>
        <w:spacing w:line="480" w:lineRule="auto"/>
        <w:jc w:val="both"/>
        <w:rPr>
          <w:lang w:val="es-AR"/>
        </w:rPr>
      </w:pPr>
      <w:r w:rsidRPr="002D53DC">
        <w:rPr>
          <w:lang w:val="es-AR"/>
        </w:rPr>
        <w:t xml:space="preserve">Quedando descartada siempre la comercialización de embriones. </w:t>
      </w:r>
    </w:p>
    <w:p w:rsidR="00617A4B" w:rsidRPr="00617A4B" w:rsidRDefault="00617A4B" w:rsidP="00B146B8">
      <w:pPr>
        <w:spacing w:line="480" w:lineRule="auto"/>
        <w:jc w:val="both"/>
        <w:rPr>
          <w:b/>
          <w:lang w:val="es-AR"/>
        </w:rPr>
      </w:pPr>
      <w:r w:rsidRPr="00617A4B">
        <w:rPr>
          <w:b/>
          <w:lang w:val="es-AR"/>
        </w:rPr>
        <w:lastRenderedPageBreak/>
        <w:t xml:space="preserve">ENTONCES, ESTO IMPLICA QUE EL USO Y LA DESTRUCCIÓN DE ELLOS EN INVESTIGACIONES MÉDICAS </w:t>
      </w:r>
      <w:r w:rsidR="00B146B8">
        <w:rPr>
          <w:b/>
          <w:lang w:val="es-AR"/>
        </w:rPr>
        <w:t xml:space="preserve">que </w:t>
      </w:r>
      <w:r w:rsidRPr="00617A4B">
        <w:rPr>
          <w:b/>
          <w:lang w:val="es-AR"/>
        </w:rPr>
        <w:t>IMPORTEN UNA PROMESA RAZONABLE DE TRATAR O PREVENIR ENFERMEDADES HUMANAS GRAVES O SUFRIMIENTO</w:t>
      </w:r>
      <w:r w:rsidR="00B146B8">
        <w:rPr>
          <w:b/>
          <w:lang w:val="es-AR"/>
        </w:rPr>
        <w:t xml:space="preserve">, está fuera de la </w:t>
      </w:r>
      <w:proofErr w:type="gramStart"/>
      <w:r w:rsidR="00B146B8">
        <w:rPr>
          <w:b/>
          <w:lang w:val="es-AR"/>
        </w:rPr>
        <w:t xml:space="preserve">ley </w:t>
      </w:r>
      <w:r w:rsidRPr="00617A4B">
        <w:rPr>
          <w:b/>
          <w:lang w:val="es-AR"/>
        </w:rPr>
        <w:t>??</w:t>
      </w:r>
      <w:proofErr w:type="gramEnd"/>
    </w:p>
    <w:p w:rsidR="00617A4B" w:rsidRPr="00617A4B" w:rsidRDefault="00617A4B" w:rsidP="00B146B8">
      <w:pPr>
        <w:spacing w:line="480" w:lineRule="auto"/>
        <w:jc w:val="both"/>
        <w:rPr>
          <w:b/>
          <w:lang w:val="es-AR"/>
        </w:rPr>
      </w:pPr>
      <w:proofErr w:type="gramStart"/>
      <w:r w:rsidRPr="00617A4B">
        <w:rPr>
          <w:b/>
          <w:lang w:val="es-AR"/>
        </w:rPr>
        <w:t>LA INVESTIGACIÓN CON CÉLULAS MADRE DE EMBRIONES HUMANOS PUEDE CONTRIBUIR A LA PRÓXIMA GENERACIÓN DE ASISTENCIA SANITARIA AL OFRECER TRATAMIENTOS O REMEDIOS POSIBLES PARA ENFERMEDADES INTRATABLES O POTENCIALMENTE MORTALES, TALES COMO LA ENFERMEDAD DE PARKINSON, LA DIABETES, LA APOPLEJÍA</w:t>
      </w:r>
      <w:r w:rsidR="00B146B8">
        <w:rPr>
          <w:b/>
          <w:lang w:val="es-AR"/>
        </w:rPr>
        <w:t xml:space="preserve">, LAS CARDIOPATÍAS Y LA CEGUERA, </w:t>
      </w:r>
      <w:proofErr w:type="spellStart"/>
      <w:r w:rsidR="00B146B8">
        <w:rPr>
          <w:b/>
          <w:lang w:val="es-AR"/>
        </w:rPr>
        <w:t>esta</w:t>
      </w:r>
      <w:proofErr w:type="spellEnd"/>
      <w:r w:rsidR="00B146B8">
        <w:rPr>
          <w:b/>
          <w:lang w:val="es-AR"/>
        </w:rPr>
        <w:t xml:space="preserve"> fuera de la ley</w:t>
      </w:r>
      <w:r w:rsidRPr="00617A4B">
        <w:rPr>
          <w:b/>
          <w:lang w:val="es-AR"/>
        </w:rPr>
        <w:t>?</w:t>
      </w:r>
      <w:proofErr w:type="gramEnd"/>
    </w:p>
    <w:p w:rsidR="00617A4B" w:rsidRDefault="002D53DC" w:rsidP="00B146B8">
      <w:pPr>
        <w:spacing w:line="480" w:lineRule="auto"/>
        <w:jc w:val="both"/>
        <w:rPr>
          <w:lang w:val="es-AR"/>
        </w:rPr>
      </w:pPr>
      <w:r w:rsidRPr="002D53DC">
        <w:rPr>
          <w:lang w:val="es-AR"/>
        </w:rPr>
        <w:t xml:space="preserve"> Las células madre de embriones son únicas porque pueden dar origen a cualquiera de las células del organismo y los científicos utilizan esta característica para formar nuevas</w:t>
      </w:r>
      <w:r w:rsidR="00B146B8">
        <w:rPr>
          <w:lang w:val="es-AR"/>
        </w:rPr>
        <w:t xml:space="preserve"> </w:t>
      </w:r>
      <w:r w:rsidRPr="002D53DC">
        <w:rPr>
          <w:lang w:val="es-AR"/>
        </w:rPr>
        <w:t xml:space="preserve">células que pueden trasplantarse a pacientes para sustituir tejidos enfermos o lesionados. </w:t>
      </w:r>
    </w:p>
    <w:p w:rsidR="00617A4B" w:rsidRDefault="002D53DC" w:rsidP="00B146B8">
      <w:pPr>
        <w:spacing w:line="480" w:lineRule="auto"/>
        <w:jc w:val="both"/>
        <w:rPr>
          <w:lang w:val="es-AR"/>
        </w:rPr>
      </w:pPr>
      <w:r w:rsidRPr="002D53DC">
        <w:rPr>
          <w:lang w:val="es-AR"/>
        </w:rPr>
        <w:t>Por otra parte, los estudios con células madre de embriones permiten a los biólogos</w:t>
      </w:r>
      <w:r w:rsidR="00B146B8">
        <w:rPr>
          <w:lang w:val="es-AR"/>
        </w:rPr>
        <w:t xml:space="preserve"> </w:t>
      </w:r>
      <w:r w:rsidRPr="002D53DC">
        <w:rPr>
          <w:lang w:val="es-AR"/>
        </w:rPr>
        <w:t xml:space="preserve">comprender cómo se desarrollan y mantienen nuestros tejidos, y las células madre también se utilizan para el ensayo de nuevos medicamentos, a fin de reducir su riesgo de toxicidad y hacer avanzar la investigación farmacéutica. </w:t>
      </w:r>
    </w:p>
    <w:p w:rsidR="00617A4B" w:rsidRDefault="002D53DC" w:rsidP="00B146B8">
      <w:pPr>
        <w:spacing w:line="480" w:lineRule="auto"/>
        <w:jc w:val="both"/>
        <w:rPr>
          <w:lang w:val="es-AR"/>
        </w:rPr>
      </w:pPr>
      <w:r w:rsidRPr="002D53DC">
        <w:rPr>
          <w:lang w:val="es-AR"/>
        </w:rPr>
        <w:t xml:space="preserve">Por su parte, las células madre de adultos o </w:t>
      </w:r>
      <w:proofErr w:type="spellStart"/>
      <w:r w:rsidRPr="002D53DC">
        <w:rPr>
          <w:lang w:val="es-AR"/>
        </w:rPr>
        <w:t>histoespecíficas</w:t>
      </w:r>
      <w:proofErr w:type="spellEnd"/>
      <w:r w:rsidRPr="002D53DC">
        <w:rPr>
          <w:lang w:val="es-AR"/>
        </w:rPr>
        <w:t xml:space="preserve"> se encuentran en ciertos tejidos del organismo y son válidas para determinados tratamientos, pero no en todos los casos. Las células madre </w:t>
      </w:r>
      <w:proofErr w:type="spellStart"/>
      <w:r w:rsidRPr="002D53DC">
        <w:rPr>
          <w:lang w:val="es-AR"/>
        </w:rPr>
        <w:t>pluripotentes</w:t>
      </w:r>
      <w:proofErr w:type="spellEnd"/>
      <w:r w:rsidRPr="002D53DC">
        <w:rPr>
          <w:lang w:val="es-AR"/>
        </w:rPr>
        <w:t xml:space="preserve"> inducidas (IPSC, de su nombre en inglés) son células especializadas de adultos que se han reprogramado genéticamente y que si bien tienen muchas propiedades similares a las de las células madre de embriones y la investigación al respecto sigue avanzando; aún no es posible producir estas células de forma útil en clínica ni tratarlas como células naturales.</w:t>
      </w:r>
    </w:p>
    <w:p w:rsidR="001C48C3" w:rsidRDefault="002D53DC" w:rsidP="00B146B8">
      <w:pPr>
        <w:spacing w:line="480" w:lineRule="auto"/>
        <w:jc w:val="both"/>
        <w:rPr>
          <w:lang w:val="es-AR"/>
        </w:rPr>
      </w:pPr>
      <w:r w:rsidRPr="002D53DC">
        <w:rPr>
          <w:lang w:val="es-AR"/>
        </w:rPr>
        <w:lastRenderedPageBreak/>
        <w:t xml:space="preserve"> A partir de la sanción de la presente ley, se prohíbe:</w:t>
      </w:r>
    </w:p>
    <w:p w:rsidR="001C48C3" w:rsidRDefault="002D53DC" w:rsidP="00B146B8">
      <w:pPr>
        <w:spacing w:line="480" w:lineRule="auto"/>
        <w:jc w:val="both"/>
        <w:rPr>
          <w:lang w:val="es-AR"/>
        </w:rPr>
      </w:pPr>
      <w:r w:rsidRPr="002D53DC">
        <w:rPr>
          <w:lang w:val="es-AR"/>
        </w:rPr>
        <w:t xml:space="preserve"> a) La comercialización de embriones;</w:t>
      </w:r>
    </w:p>
    <w:p w:rsidR="001C48C3" w:rsidRDefault="002D53DC" w:rsidP="00B146B8">
      <w:pPr>
        <w:spacing w:line="480" w:lineRule="auto"/>
        <w:jc w:val="both"/>
        <w:rPr>
          <w:lang w:val="es-AR"/>
        </w:rPr>
      </w:pPr>
      <w:r w:rsidRPr="002D53DC">
        <w:rPr>
          <w:lang w:val="es-AR"/>
        </w:rPr>
        <w:t xml:space="preserve"> b) La comercialización de gametos </w:t>
      </w:r>
      <w:proofErr w:type="spellStart"/>
      <w:r w:rsidRPr="002D53DC">
        <w:rPr>
          <w:lang w:val="es-AR"/>
        </w:rPr>
        <w:t>crioconservados</w:t>
      </w:r>
      <w:proofErr w:type="spellEnd"/>
      <w:r w:rsidRPr="002D53DC">
        <w:rPr>
          <w:lang w:val="es-AR"/>
        </w:rPr>
        <w:t xml:space="preserve">; </w:t>
      </w:r>
    </w:p>
    <w:p w:rsidR="001C48C3" w:rsidRDefault="002D53DC" w:rsidP="00B146B8">
      <w:pPr>
        <w:spacing w:line="480" w:lineRule="auto"/>
        <w:jc w:val="both"/>
        <w:rPr>
          <w:lang w:val="es-AR"/>
        </w:rPr>
      </w:pPr>
      <w:r w:rsidRPr="002D53DC">
        <w:rPr>
          <w:lang w:val="es-AR"/>
        </w:rPr>
        <w:t xml:space="preserve">c) Toda práctica destinada a producir una alteración genética del embrión que se transmita a su descendencia; </w:t>
      </w:r>
    </w:p>
    <w:p w:rsidR="001C48C3" w:rsidRDefault="002D53DC" w:rsidP="00B146B8">
      <w:pPr>
        <w:spacing w:line="480" w:lineRule="auto"/>
        <w:jc w:val="both"/>
        <w:rPr>
          <w:lang w:val="es-AR"/>
        </w:rPr>
      </w:pPr>
      <w:r w:rsidRPr="002D53DC">
        <w:rPr>
          <w:lang w:val="es-AR"/>
        </w:rPr>
        <w:t xml:space="preserve">d) La utilización de embriones viables para experimentación o investigación que no respeten los parámetros fijados por la autoridad de aplicación.” </w:t>
      </w:r>
    </w:p>
    <w:p w:rsidR="0008425E" w:rsidRDefault="002D53DC" w:rsidP="00B146B8">
      <w:pPr>
        <w:spacing w:line="480" w:lineRule="auto"/>
        <w:jc w:val="both"/>
        <w:rPr>
          <w:lang w:val="es-AR"/>
        </w:rPr>
      </w:pPr>
      <w:r w:rsidRPr="002D53DC">
        <w:rPr>
          <w:lang w:val="es-AR"/>
        </w:rPr>
        <w:t xml:space="preserve"> La aplicabilidad del artículo 17 del CCYC</w:t>
      </w:r>
      <w:r w:rsidR="001C48C3">
        <w:rPr>
          <w:lang w:val="es-AR"/>
        </w:rPr>
        <w:t xml:space="preserve"> </w:t>
      </w:r>
      <w:r w:rsidRPr="002D53DC">
        <w:rPr>
          <w:lang w:val="es-AR"/>
        </w:rPr>
        <w:t xml:space="preserve">al embrión in vitro El </w:t>
      </w:r>
      <w:r w:rsidR="0008425E" w:rsidRPr="002D53DC">
        <w:rPr>
          <w:lang w:val="es-AR"/>
        </w:rPr>
        <w:t>embrión, es</w:t>
      </w:r>
      <w:r w:rsidRPr="002D53DC">
        <w:rPr>
          <w:lang w:val="es-AR"/>
        </w:rPr>
        <w:t xml:space="preserve"> una parte separada del cuerpo, que como los gametos, las células, los genes, los órganos, etc. está fuera del comercio conforme el art. 17 del CCYC. </w:t>
      </w:r>
    </w:p>
    <w:p w:rsidR="0008425E" w:rsidRDefault="002D53DC" w:rsidP="00B146B8">
      <w:pPr>
        <w:spacing w:line="480" w:lineRule="auto"/>
        <w:jc w:val="both"/>
        <w:rPr>
          <w:lang w:val="es-AR"/>
        </w:rPr>
      </w:pPr>
      <w:r w:rsidRPr="002D53DC">
        <w:rPr>
          <w:lang w:val="es-AR"/>
        </w:rPr>
        <w:t>El articulo 17 adopta la postura que extiende el reconocimiento de la dignidad atribuida al cuerpo como soporte de la persona a las partes del mismo, asegurando un trato diferenciado respecto de estas. Este trato diferenciado se asienta primordialmente en la prevalencia del principio de no comercialidad. Tomar una parte separada del cuerpo vivo como una cosa importa autorizar a que entre en el tráfico mercantil desvirtuando la consideración y el respeto por la dignidad humana, respeto que necesariamente debe transmitirse a las partes separadas del cuerpo.</w:t>
      </w:r>
    </w:p>
    <w:p w:rsidR="00AC092D" w:rsidRDefault="002D53DC" w:rsidP="00B146B8">
      <w:pPr>
        <w:spacing w:line="480" w:lineRule="auto"/>
        <w:jc w:val="both"/>
        <w:rPr>
          <w:lang w:val="es-AR"/>
        </w:rPr>
      </w:pPr>
      <w:r w:rsidRPr="002D53DC">
        <w:rPr>
          <w:lang w:val="es-AR"/>
        </w:rPr>
        <w:t xml:space="preserve">Como sostiene </w:t>
      </w:r>
      <w:proofErr w:type="spellStart"/>
      <w:r w:rsidRPr="002D53DC">
        <w:rPr>
          <w:lang w:val="es-AR"/>
        </w:rPr>
        <w:t>Bergel</w:t>
      </w:r>
      <w:proofErr w:type="spellEnd"/>
      <w:r w:rsidRPr="002D53DC">
        <w:rPr>
          <w:lang w:val="es-AR"/>
        </w:rPr>
        <w:t xml:space="preserve">: Si el criterio es el mercado, palabras como igualdad y dignidad quedan desvirtuadas, pierden peso y con ellas se disuelve la autonomía de la persona falsamente confiada en la libertad de entrada o salida del mercado. </w:t>
      </w:r>
    </w:p>
    <w:p w:rsidR="00AC092D" w:rsidRDefault="002D53DC" w:rsidP="00B146B8">
      <w:pPr>
        <w:spacing w:line="480" w:lineRule="auto"/>
        <w:jc w:val="both"/>
        <w:rPr>
          <w:lang w:val="es-AR"/>
        </w:rPr>
      </w:pPr>
      <w:r w:rsidRPr="002D53DC">
        <w:rPr>
          <w:lang w:val="es-AR"/>
        </w:rPr>
        <w:lastRenderedPageBreak/>
        <w:t>Entonces, el embrión</w:t>
      </w:r>
      <w:r w:rsidR="00AC092D">
        <w:rPr>
          <w:lang w:val="es-AR"/>
        </w:rPr>
        <w:t xml:space="preserve"> </w:t>
      </w:r>
      <w:r w:rsidRPr="002D53DC">
        <w:rPr>
          <w:lang w:val="es-AR"/>
        </w:rPr>
        <w:t xml:space="preserve">como parte separada del cuerpo está fuera del comercio. En este mismo sentido se pronunció el Tribunal de Justicia de la Unión Europea en el Caso Oliver </w:t>
      </w:r>
      <w:proofErr w:type="spellStart"/>
      <w:r w:rsidRPr="002D53DC">
        <w:rPr>
          <w:lang w:val="es-AR"/>
        </w:rPr>
        <w:t>Brüstle</w:t>
      </w:r>
      <w:proofErr w:type="spellEnd"/>
      <w:r w:rsidRPr="002D53DC">
        <w:rPr>
          <w:lang w:val="es-AR"/>
        </w:rPr>
        <w:t xml:space="preserve"> Vs. Greenpeace </w:t>
      </w:r>
    </w:p>
    <w:p w:rsidR="00AC092D" w:rsidRDefault="002D53DC" w:rsidP="00B146B8">
      <w:pPr>
        <w:spacing w:line="480" w:lineRule="auto"/>
        <w:jc w:val="both"/>
        <w:rPr>
          <w:lang w:val="es-AR"/>
        </w:rPr>
      </w:pPr>
      <w:r w:rsidRPr="002D53DC">
        <w:rPr>
          <w:lang w:val="es-AR"/>
        </w:rPr>
        <w:t xml:space="preserve">Desde el punto de vista ético, la manipulación de embriones humanos plantea la duda sobre la legitimidad de su uso para combatir el desarrollo de desórdenes genéticos en futuras generaciones. El uso científico o las técnicas aplicadas en los embriones suponen tanto dilemas éticos como legales en relación a la dignidad y el derecho. </w:t>
      </w:r>
    </w:p>
    <w:p w:rsidR="00AC092D" w:rsidRDefault="002D53DC" w:rsidP="00B146B8">
      <w:pPr>
        <w:spacing w:line="480" w:lineRule="auto"/>
        <w:jc w:val="both"/>
        <w:rPr>
          <w:lang w:val="es-AR"/>
        </w:rPr>
      </w:pPr>
      <w:r w:rsidRPr="002D53DC">
        <w:rPr>
          <w:lang w:val="es-AR"/>
        </w:rPr>
        <w:t>Por lo tanto, es de interés público establecer los límites en referencia al embrión in vitro para tomar actitudes responsables en su manipulación.</w:t>
      </w:r>
    </w:p>
    <w:p w:rsidR="00AC092D" w:rsidRDefault="002D53DC" w:rsidP="00B146B8">
      <w:pPr>
        <w:spacing w:line="480" w:lineRule="auto"/>
        <w:jc w:val="both"/>
        <w:rPr>
          <w:lang w:val="es-AR"/>
        </w:rPr>
      </w:pPr>
      <w:r w:rsidRPr="002D53DC">
        <w:rPr>
          <w:lang w:val="es-AR"/>
        </w:rPr>
        <w:t>En este sentido, el artículo 57, mediante una regla general, prohíbe las prácticas que tengan por fin o consecuencia producir una alteración genética del embrión cuando esa alteración, precisamente por afectar al embrión, se transmita a la descendencia.</w:t>
      </w:r>
    </w:p>
    <w:p w:rsidR="00407787" w:rsidRDefault="002D53DC" w:rsidP="00B146B8">
      <w:pPr>
        <w:spacing w:line="480" w:lineRule="auto"/>
        <w:jc w:val="both"/>
        <w:rPr>
          <w:lang w:val="es-AR"/>
        </w:rPr>
      </w:pPr>
      <w:r w:rsidRPr="002D53DC">
        <w:rPr>
          <w:lang w:val="es-AR"/>
        </w:rPr>
        <w:t xml:space="preserve"> Aunque en materia terminológica se utiliza una fórmula amplia a los efectos de no quedar obsoleta atento al rápido avance de la ciencia, lo cierto es que la prohibición estipulada en el artículo 57 contempla exclusivamente a las intervenciones que alteran el genoma del cigoto o del embrión temprano y están destinadas a producir mutaciones que se transmitirán a la descendencia</w:t>
      </w:r>
    </w:p>
    <w:p w:rsidR="00407787" w:rsidRDefault="002D53DC" w:rsidP="00B146B8">
      <w:pPr>
        <w:spacing w:line="480" w:lineRule="auto"/>
        <w:jc w:val="both"/>
        <w:rPr>
          <w:lang w:val="es-AR"/>
        </w:rPr>
      </w:pPr>
      <w:r w:rsidRPr="002D53DC">
        <w:rPr>
          <w:lang w:val="es-AR"/>
        </w:rPr>
        <w:t xml:space="preserve"> La prohibición se funda en que actuar a nivel celular modificando los genes de los individuos significa actuar sobre el patrón genético de la humanidad, es decir, hacer intervenciones técnicas que son poco seguras en un ámbito de riesgo que nos hace ignorar totalmente las consecuencias derivadas de este tipo de intervención. También comprende cuestiones como la integridad personal, la identidad de las personas y del género humano en general</w:t>
      </w:r>
      <w:r w:rsidR="00407787">
        <w:rPr>
          <w:lang w:val="es-AR"/>
        </w:rPr>
        <w:t>.</w:t>
      </w:r>
    </w:p>
    <w:p w:rsidR="00407787" w:rsidRDefault="002D53DC" w:rsidP="00B146B8">
      <w:pPr>
        <w:spacing w:line="480" w:lineRule="auto"/>
        <w:jc w:val="both"/>
        <w:rPr>
          <w:lang w:val="es-AR"/>
        </w:rPr>
      </w:pPr>
      <w:r w:rsidRPr="002D53DC">
        <w:rPr>
          <w:lang w:val="es-AR"/>
        </w:rPr>
        <w:lastRenderedPageBreak/>
        <w:t>Ahora bien, lo que la norma prohíbe es alterar o producir una alteración genética, no seleccionar, que es lo que sucede precisamente en el DGP. En otros términos, el artículo 57 no prohíbe los diagnósticos de genes tales como el DGP, en los que se aplican técn</w:t>
      </w:r>
      <w:r w:rsidR="00407787">
        <w:rPr>
          <w:lang w:val="es-AR"/>
        </w:rPr>
        <w:t xml:space="preserve">icas que no afectan al cigoto. </w:t>
      </w:r>
    </w:p>
    <w:p w:rsidR="00C10ED7" w:rsidRPr="00C10ED7" w:rsidRDefault="00C10ED7" w:rsidP="00B146B8">
      <w:pPr>
        <w:spacing w:line="480" w:lineRule="auto"/>
        <w:jc w:val="both"/>
        <w:rPr>
          <w:b/>
          <w:u w:val="double"/>
          <w:lang w:val="es-AR"/>
        </w:rPr>
      </w:pPr>
      <w:r w:rsidRPr="00C10ED7">
        <w:rPr>
          <w:b/>
          <w:u w:val="double"/>
          <w:lang w:val="es-AR"/>
        </w:rPr>
        <w:t xml:space="preserve">ACTIVIDAD: </w:t>
      </w:r>
    </w:p>
    <w:p w:rsidR="00C10ED7" w:rsidRDefault="00C10ED7" w:rsidP="00FB6378">
      <w:pPr>
        <w:pStyle w:val="Prrafodelista"/>
        <w:numPr>
          <w:ilvl w:val="0"/>
          <w:numId w:val="1"/>
        </w:numPr>
        <w:spacing w:line="480" w:lineRule="auto"/>
        <w:jc w:val="both"/>
        <w:rPr>
          <w:b/>
          <w:lang w:val="es-AR"/>
        </w:rPr>
      </w:pPr>
      <w:r w:rsidRPr="00C10ED7">
        <w:rPr>
          <w:b/>
          <w:lang w:val="es-AR"/>
        </w:rPr>
        <w:t xml:space="preserve">LUEGO DE HABER LEÍDO DETENIDAMENTE, INVETIGUE LOS FUNDAMENTOS JURÍDICOS, CIENTÍFICOS ÉTICOS Y REGILIOSOS QUE SE PIDE A LA HORA DE DEFENDER LAS DOS VIDAS. </w:t>
      </w:r>
    </w:p>
    <w:p w:rsidR="0085013A" w:rsidRPr="00C10ED7" w:rsidRDefault="0085013A" w:rsidP="00FB6378">
      <w:pPr>
        <w:pStyle w:val="Prrafodelista"/>
        <w:numPr>
          <w:ilvl w:val="0"/>
          <w:numId w:val="1"/>
        </w:numPr>
        <w:spacing w:line="480" w:lineRule="auto"/>
        <w:jc w:val="both"/>
        <w:rPr>
          <w:b/>
          <w:lang w:val="es-AR"/>
        </w:rPr>
      </w:pPr>
      <w:r>
        <w:rPr>
          <w:b/>
          <w:lang w:val="es-AR"/>
        </w:rPr>
        <w:t>REDACTE UNA REFLEXIÓN PERSONAL RESPECTO AL TEMA.</w:t>
      </w:r>
    </w:p>
    <w:sectPr w:rsidR="0085013A" w:rsidRPr="00C10ED7" w:rsidSect="00157380">
      <w:pgSz w:w="12240" w:h="15840"/>
      <w:pgMar w:top="2268" w:right="1134"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82E65"/>
    <w:multiLevelType w:val="hybridMultilevel"/>
    <w:tmpl w:val="3CEED712"/>
    <w:lvl w:ilvl="0" w:tplc="D20E17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80"/>
    <w:rsid w:val="0008425E"/>
    <w:rsid w:val="00140C5C"/>
    <w:rsid w:val="00157380"/>
    <w:rsid w:val="001C48C3"/>
    <w:rsid w:val="002D53DC"/>
    <w:rsid w:val="002E458E"/>
    <w:rsid w:val="003D74C6"/>
    <w:rsid w:val="00407787"/>
    <w:rsid w:val="005D522E"/>
    <w:rsid w:val="0061436C"/>
    <w:rsid w:val="00617A4B"/>
    <w:rsid w:val="00702BDB"/>
    <w:rsid w:val="0073612D"/>
    <w:rsid w:val="0085013A"/>
    <w:rsid w:val="00877B30"/>
    <w:rsid w:val="00900C92"/>
    <w:rsid w:val="00916D43"/>
    <w:rsid w:val="00A74E52"/>
    <w:rsid w:val="00AC092D"/>
    <w:rsid w:val="00B146B8"/>
    <w:rsid w:val="00B42E1C"/>
    <w:rsid w:val="00B75A4C"/>
    <w:rsid w:val="00C10ED7"/>
    <w:rsid w:val="00D1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4806"/>
  <w15:chartTrackingRefBased/>
  <w15:docId w15:val="{393E58A2-DE05-4E45-80A0-B67A0A0C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0ED7"/>
    <w:pPr>
      <w:ind w:left="720"/>
      <w:contextualSpacing/>
    </w:pPr>
  </w:style>
  <w:style w:type="paragraph" w:styleId="Encabezado">
    <w:name w:val="header"/>
    <w:basedOn w:val="Normal"/>
    <w:link w:val="EncabezadoCar"/>
    <w:uiPriority w:val="99"/>
    <w:semiHidden/>
    <w:unhideWhenUsed/>
    <w:rsid w:val="00702BDB"/>
    <w:pPr>
      <w:tabs>
        <w:tab w:val="center" w:pos="4252"/>
        <w:tab w:val="right" w:pos="8504"/>
      </w:tabs>
      <w:spacing w:after="0" w:line="240" w:lineRule="auto"/>
    </w:pPr>
    <w:rPr>
      <w:lang w:val="es-AR"/>
    </w:rPr>
  </w:style>
  <w:style w:type="character" w:customStyle="1" w:styleId="EncabezadoCar">
    <w:name w:val="Encabezado Car"/>
    <w:basedOn w:val="Fuentedeprrafopredeter"/>
    <w:link w:val="Encabezado"/>
    <w:uiPriority w:val="99"/>
    <w:semiHidden/>
    <w:rsid w:val="00702BDB"/>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10</Pages>
  <Words>2245</Words>
  <Characters>12802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12</cp:revision>
  <dcterms:created xsi:type="dcterms:W3CDTF">2020-03-18T11:00:00Z</dcterms:created>
  <dcterms:modified xsi:type="dcterms:W3CDTF">2022-04-20T12:59:00Z</dcterms:modified>
</cp:coreProperties>
</file>