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rPr/>
      </w:pPr>
      <w:r>
        <w:rPr/>
        <w:t>Guia de catequesis 1</w:t>
      </w:r>
    </w:p>
    <w:p>
      <w:pPr>
        <w:pStyle w:val="Cuerpodetexto"/>
        <w:rPr/>
      </w:pPr>
      <w:r>
        <w:rPr/>
        <w:t>Martiniano ameglio</w:t>
      </w:r>
    </w:p>
    <w:p>
      <w:pPr>
        <w:pStyle w:val="Cuerpodetexto"/>
        <w:rPr/>
      </w:pPr>
      <w:r>
        <w:rPr/>
        <w:t>Juan pablo herrera</w:t>
      </w:r>
    </w:p>
    <w:p>
      <w:pPr>
        <w:pStyle w:val="Cuerpodetexto"/>
        <w:rPr/>
      </w:pPr>
      <w:r>
        <w:rPr/>
        <w:t>Franzisco grattarola</w:t>
      </w:r>
    </w:p>
    <w:tbl>
      <w:tblPr>
        <w:tblStyle w:val="Tablaconcuadrcula"/>
        <w:tblW w:w="6374" w:type="dxa"/>
        <w:jc w:val="left"/>
        <w:tblInd w:w="0" w:type="dxa"/>
        <w:tblCellMar>
          <w:top w:w="0" w:type="dxa"/>
          <w:left w:w="108" w:type="dxa"/>
          <w:bottom w:w="0" w:type="dxa"/>
          <w:right w:w="108" w:type="dxa"/>
        </w:tblCellMar>
        <w:tblLook w:firstRow="1" w:noVBand="1" w:lastRow="0" w:firstColumn="1" w:lastColumn="0" w:noHBand="0" w:val="04a0"/>
      </w:tblPr>
      <w:tblGrid>
        <w:gridCol w:w="6374"/>
      </w:tblGrid>
      <w:tr>
        <w:trPr>
          <w:trHeight w:val="3246" w:hRule="atLeast"/>
        </w:trPr>
        <w:tc>
          <w:tcPr>
            <w:tcW w:w="6374" w:type="dxa"/>
            <w:tcBorders/>
            <w:shd w:fill="auto" w:val="clear"/>
          </w:tcPr>
          <w:p>
            <w:pPr>
              <w:pStyle w:val="Normal"/>
              <w:spacing w:lineRule="auto" w:line="240" w:before="0" w:after="0"/>
              <w:jc w:val="center"/>
              <w:rPr/>
            </w:pPr>
            <w:r>
              <w:rPr>
                <w:rFonts w:cs="Arial" w:ascii="Arial" w:hAnsi="Arial"/>
              </w:rPr>
              <w:t xml:space="preserve">Los abusos de la investigación científica </w:t>
            </w:r>
          </w:p>
          <w:p>
            <w:pPr>
              <w:pStyle w:val="Normal"/>
              <w:spacing w:lineRule="auto" w:line="240" w:before="0" w:after="0"/>
              <w:jc w:val="center"/>
              <w:rPr/>
            </w:pPr>
            <w:r>
              <w:rPr>
                <w:rFonts w:cs="Arial" w:ascii="Arial" w:hAnsi="Arial"/>
              </w:rPr>
              <w:t>Para que la medicina pueda seguir avanzando en bien de la humanidad se ha necesitado, de alguna manera, la experimentación. En el siglo XIX se intensificó especialmente con seres humanos; pero también, lamenta blemente, hubo abusos de indole ético.</w:t>
            </w:r>
          </w:p>
          <w:p>
            <w:pPr>
              <w:pStyle w:val="Normal"/>
              <w:spacing w:lineRule="auto" w:line="240" w:before="0" w:after="0"/>
              <w:jc w:val="center"/>
              <w:rPr/>
            </w:pPr>
            <w:r>
              <w:rPr>
                <w:rFonts w:cs="Arial" w:ascii="Arial" w:hAnsi="Arial"/>
              </w:rPr>
              <w:br/>
              <w:t>Recordamos, no sin horror, los experimentos realizados por los cientificos de la época nazi, que ponían en evidencia su obsesión cugenésica.</w:t>
            </w:r>
          </w:p>
          <w:p>
            <w:pPr>
              <w:pStyle w:val="Normal"/>
              <w:spacing w:lineRule="auto" w:line="240" w:before="0" w:after="0"/>
              <w:jc w:val="center"/>
              <w:rPr>
                <w:rFonts w:ascii="Arial" w:hAnsi="Arial" w:cs="Arial"/>
              </w:rPr>
            </w:pPr>
            <w:r>
              <w:rPr/>
            </w:r>
          </w:p>
          <w:p>
            <w:pPr>
              <w:pStyle w:val="Normal"/>
              <w:spacing w:lineRule="auto" w:line="240" w:before="0" w:after="0"/>
              <w:jc w:val="center"/>
              <w:rPr/>
            </w:pPr>
            <w:r>
              <w:rPr>
                <w:rFonts w:cs="Arial" w:ascii="Arial" w:hAnsi="Arial"/>
              </w:rPr>
              <w:t>Mencionamos algunos de esos acontecimientos:</w:t>
              <w:br/>
              <w:t>El 14 de julio de 1953 se aprobó en la Alemania nazi la ley de ales yo weriligación obligatoria de las personas que sufrían defectos mentales congénitos, esquizofrenia, pacot-maniaco depresiva, epilepsia here ditaria, alcoholismo severo y otras.</w:t>
              <w:br/>
              <w:t>En 1937 se amplia dicha ley a todos los niños de color.</w:t>
            </w:r>
          </w:p>
          <w:p>
            <w:pPr>
              <w:pStyle w:val="Normal"/>
              <w:spacing w:lineRule="auto" w:line="240" w:before="0" w:after="0"/>
              <w:jc w:val="center"/>
              <w:rPr/>
            </w:pPr>
            <w:r>
              <w:rPr>
                <w:rFonts w:cs="Arial" w:ascii="Arial" w:hAnsi="Arial"/>
              </w:rPr>
              <w:t xml:space="preserve"> </w:t>
            </w:r>
            <w:r>
              <w:rPr>
                <w:rFonts w:cs="Arial" w:ascii="Arial" w:hAnsi="Arial"/>
              </w:rPr>
              <w:br/>
              <w:t>En 1939 se inicia el programa Aktion T4 de eutanasia de niños meno res de tres años con defectos congénitos.</w:t>
              <w:br/>
              <w:t>En 1943 se incluyeron en este programa los niños sanos que fuesen Judios o de otras razas no arias. También se aplicaron en los campos de concentración para exterminios masivos.</w:t>
              <w:br/>
              <w:t>En 1941 se autorizó el programa 14 f 13, que recomendaba la eutanasia involuntaria para todos los enfermos incurables y psicópatas que se encontrasen en los campos de concentración.</w:t>
            </w:r>
          </w:p>
          <w:p>
            <w:pPr>
              <w:pStyle w:val="Normal"/>
              <w:spacing w:lineRule="auto" w:line="240" w:before="0" w:after="0"/>
              <w:jc w:val="center"/>
              <w:rPr/>
            </w:pPr>
            <w:r>
              <w:rPr>
                <w:rFonts w:cs="Arial" w:ascii="Arial" w:hAnsi="Arial"/>
              </w:rPr>
              <w:br/>
              <w:t>Como consecuencia de tantos abusos, después de la Segunda Guerra Mundial, surgió la iniciativa de impedir que estas situaciones se repitieran. Esto dio origen al llamado CÓDIGO DE NUREM BERG (1947) donde se formularon normas preci sas para proteger la integridad de los seres huma nos en la experimentación científica.</w:t>
            </w:r>
          </w:p>
          <w:p>
            <w:pPr>
              <w:pStyle w:val="Normal"/>
              <w:spacing w:lineRule="auto" w:line="240" w:before="0" w:after="0"/>
              <w:jc w:val="center"/>
              <w:rPr/>
            </w:pPr>
            <w:r>
              <w:rPr>
                <w:rFonts w:cs="Arial" w:ascii="Arial" w:hAnsi="Arial"/>
              </w:rPr>
              <w:br/>
              <w:t>Posteriormente aparecieron las declaraciones de HELSINKI (1964) y de TOKIO (1975). En primera se recomienda la formación de comités de ética para evaluar la investigación científica con los sujetos humanos.</w:t>
            </w:r>
          </w:p>
        </w:tc>
      </w:tr>
      <w:tr>
        <w:trPr>
          <w:trHeight w:val="3391" w:hRule="atLeast"/>
        </w:trPr>
        <w:tc>
          <w:tcPr>
            <w:tcW w:w="6374" w:type="dxa"/>
            <w:tcBorders/>
            <w:shd w:fill="auto" w:val="clear"/>
          </w:tcPr>
          <w:p>
            <w:pPr>
              <w:pStyle w:val="Normal"/>
              <w:spacing w:lineRule="auto" w:line="240" w:before="0" w:after="0"/>
              <w:jc w:val="center"/>
              <w:rPr/>
            </w:pPr>
            <w:r>
              <w:rPr>
                <w:rFonts w:cs="Arial" w:ascii="Arial" w:hAnsi="Arial"/>
              </w:rPr>
              <w:t>Una historia increíble</w:t>
            </w:r>
          </w:p>
          <w:p>
            <w:pPr>
              <w:pStyle w:val="Normal"/>
              <w:spacing w:lineRule="auto" w:line="240" w:before="0" w:after="0"/>
              <w:jc w:val="center"/>
              <w:rPr/>
            </w:pPr>
            <w:r>
              <w:rPr>
                <w:rFonts w:cs="Arial" w:ascii="Arial" w:hAnsi="Arial"/>
              </w:rPr>
              <w:t>E</w:t>
            </w:r>
            <w:r>
              <w:rPr>
                <w:rFonts w:cs="Arial" w:ascii="Arial" w:hAnsi="Arial"/>
              </w:rPr>
              <w:t>n 1932 el servicio publico de estados unidos decide llevar acabo un estudio sobre la evolución de la sífilis en la población negra. para ello fueron seleccionados unos 400 varones negros sifilíticos y otros 200 no sifilíticos  como grupo de control. la opinión profesional mayoritaria sostenía que los tratamientos usados entonces para la sífilis reducían la mortalidad.</w:t>
            </w:r>
          </w:p>
          <w:p>
            <w:pPr>
              <w:pStyle w:val="Normal"/>
              <w:spacing w:lineRule="auto" w:line="240" w:before="0" w:after="0"/>
              <w:jc w:val="center"/>
              <w:rPr>
                <w:rFonts w:ascii="Arial" w:hAnsi="Arial" w:cs="Arial"/>
              </w:rPr>
            </w:pPr>
            <w:r>
              <w:rPr/>
            </w:r>
          </w:p>
          <w:p>
            <w:pPr>
              <w:pStyle w:val="Normal"/>
              <w:spacing w:lineRule="auto" w:line="240" w:before="0" w:after="0"/>
              <w:jc w:val="center"/>
              <w:rPr/>
            </w:pPr>
            <w:r>
              <w:rPr>
                <w:rFonts w:cs="Arial" w:ascii="Arial" w:hAnsi="Arial"/>
              </w:rPr>
              <w:t>S</w:t>
            </w:r>
            <w:r>
              <w:rPr>
                <w:rFonts w:cs="Arial" w:ascii="Arial" w:hAnsi="Arial"/>
              </w:rPr>
              <w:t>i bien se les ofrecieron algunas ventajas materiales incluso sanitarias, en ningún caso incluían el tratamiento de la sífilis, se los engaño de varias maneras y solo se les dijo que tenían mala sangre . en ningún momento se les aplico un tratamiento especifico , hay que señalar otros ejemplos, como la inyección del virus de la hepatitis a niños mentales retrasados o células cancerígenas a ancianos.</w:t>
            </w:r>
          </w:p>
          <w:p>
            <w:pPr>
              <w:pStyle w:val="Normal"/>
              <w:spacing w:lineRule="auto" w:line="240" w:before="0" w:after="0"/>
              <w:jc w:val="center"/>
              <w:rPr>
                <w:rFonts w:ascii="Arial" w:hAnsi="Arial" w:cs="Arial"/>
              </w:rPr>
            </w:pPr>
            <w:r>
              <w:rPr/>
            </w:r>
          </w:p>
          <w:p>
            <w:pPr>
              <w:pStyle w:val="Normal"/>
              <w:spacing w:lineRule="auto" w:line="240" w:before="0" w:after="0"/>
              <w:jc w:val="center"/>
              <w:rPr/>
            </w:pPr>
            <w:r>
              <w:rPr>
                <w:rFonts w:cs="Arial" w:ascii="Arial" w:hAnsi="Arial"/>
              </w:rPr>
              <w:t>E</w:t>
            </w:r>
            <w:r>
              <w:rPr>
                <w:rFonts w:cs="Arial" w:ascii="Arial" w:hAnsi="Arial"/>
              </w:rPr>
              <w:t xml:space="preserve">n 1936 el dr.southam inoculo con células cancerígenas a 22 pacientes el objetivo del estudio era descubrir si la capacidad del cuerpo para rechazar las células cancerosas debía atribuirse al mismo cáncer o al debilitamiento del organismo por otras causas </w:t>
            </w:r>
            <w:r>
              <w:rPr>
                <w:rFonts w:cs="Arial" w:ascii="Arial" w:hAnsi="Arial"/>
              </w:rPr>
              <w:t>y el el 12 de julio de 1974 el congreso de los estados unidos aprobó una ley que disponía la creación de una comisión nacional de protección de los sujetos humanos en la investigación científica en medicina y en las ciencias de la conducta, dicha comisión trabajo  intensamente y en 1979 publico el llamado informe belmont</w:t>
            </w:r>
          </w:p>
          <w:p>
            <w:pPr>
              <w:pStyle w:val="Normal"/>
              <w:spacing w:lineRule="auto" w:line="240" w:before="0" w:after="0"/>
              <w:jc w:val="center"/>
              <w:rPr>
                <w:rFonts w:ascii="Arial" w:hAnsi="Arial" w:cs="Arial"/>
              </w:rPr>
            </w:pPr>
            <w:r>
              <w:rPr/>
            </w:r>
          </w:p>
          <w:p>
            <w:pPr>
              <w:pStyle w:val="Normal"/>
              <w:spacing w:lineRule="auto" w:line="240" w:before="0" w:after="0"/>
              <w:jc w:val="center"/>
              <w:rPr>
                <w:rFonts w:ascii="Arial" w:hAnsi="Arial" w:cs="Arial"/>
              </w:rPr>
            </w:pPr>
            <w:r>
              <w:rPr/>
            </w:r>
          </w:p>
        </w:tc>
      </w:tr>
      <w:tr>
        <w:trPr>
          <w:trHeight w:val="3680" w:hRule="atLeast"/>
        </w:trPr>
        <w:tc>
          <w:tcPr>
            <w:tcW w:w="6374" w:type="dxa"/>
            <w:tcBorders/>
            <w:shd w:fill="auto" w:val="clear"/>
          </w:tcPr>
          <w:p>
            <w:pPr>
              <w:pStyle w:val="Normal"/>
              <w:spacing w:lineRule="auto" w:line="240" w:before="0" w:after="0"/>
              <w:jc w:val="center"/>
              <w:rPr/>
            </w:pPr>
            <w:r>
              <w:rPr>
                <w:rFonts w:cs="Arial" w:ascii="Arial" w:hAnsi="Arial"/>
              </w:rPr>
              <w:t xml:space="preserve">Los 3 principios fundamentales </w:t>
            </w:r>
          </w:p>
          <w:p>
            <w:pPr>
              <w:pStyle w:val="Normal"/>
              <w:spacing w:lineRule="auto" w:line="240" w:before="0" w:after="0"/>
              <w:jc w:val="center"/>
              <w:rPr/>
            </w:pPr>
            <w:r>
              <w:rPr>
                <w:rFonts w:cs="Arial" w:ascii="Arial" w:hAnsi="Arial"/>
              </w:rPr>
              <w:t>1-Respeto por las personas: Primero que los individuos deberian ser tratados como agentes autonomos;, y segundo que las personas con autonomia disminuidatienen derecho a ser protegidas.</w:t>
            </w:r>
          </w:p>
          <w:p>
            <w:pPr>
              <w:pStyle w:val="Normal"/>
              <w:spacing w:lineRule="auto" w:line="240" w:before="0" w:after="0"/>
              <w:jc w:val="center"/>
              <w:rPr>
                <w:rFonts w:ascii="Arial" w:hAnsi="Arial" w:cs="Arial"/>
              </w:rPr>
            </w:pPr>
            <w:r>
              <w:rPr/>
            </w:r>
          </w:p>
          <w:p>
            <w:pPr>
              <w:pStyle w:val="Normal"/>
              <w:spacing w:lineRule="auto" w:line="240" w:before="0" w:after="0"/>
              <w:jc w:val="center"/>
              <w:rPr/>
            </w:pPr>
            <w:r>
              <w:rPr>
                <w:rFonts w:cs="Arial" w:ascii="Arial" w:hAnsi="Arial"/>
              </w:rPr>
              <w:t>2-Beneficiencia: Implica no solo respetar sus deciciones y proteger los de daños, sino tambien procurar su bienestar</w:t>
            </w:r>
          </w:p>
          <w:p>
            <w:pPr>
              <w:pStyle w:val="Normal"/>
              <w:spacing w:lineRule="auto" w:line="240" w:before="0" w:after="0"/>
              <w:jc w:val="center"/>
              <w:rPr>
                <w:rFonts w:ascii="Arial" w:hAnsi="Arial" w:cs="Arial"/>
              </w:rPr>
            </w:pPr>
            <w:r>
              <w:rPr/>
            </w:r>
          </w:p>
          <w:p>
            <w:pPr>
              <w:pStyle w:val="Normal"/>
              <w:spacing w:lineRule="auto" w:line="240" w:before="0" w:after="0"/>
              <w:jc w:val="center"/>
              <w:rPr/>
            </w:pPr>
            <w:r>
              <w:rPr>
                <w:rFonts w:cs="Arial" w:ascii="Arial" w:hAnsi="Arial"/>
              </w:rPr>
              <w:t>3-Justicia: ¨Se entiende en el sentido de¨Justicia en la distribucion´¨ o ¨lo que se merece</w:t>
            </w:r>
          </w:p>
        </w:tc>
      </w:tr>
    </w:tbl>
    <w:p>
      <w:pPr>
        <w:pStyle w:val="Normal"/>
        <w:widowControl/>
        <w:bidi w:val="0"/>
        <w:spacing w:lineRule="auto" w:line="259" w:before="0" w:after="160"/>
        <w:jc w:val="left"/>
        <w:rPr/>
      </w:pPr>
      <w:r>
        <w:rPr/>
      </w:r>
    </w:p>
    <w:sectPr>
      <w:type w:val="nextPage"/>
      <w:pgSz w:w="12240" w:h="15840"/>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93"/>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Arial" w:hAnsi="Arial"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cf7a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A9C3-36F8-4E74-BBB1-4E4022F5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Application>Trio_Office/6.2.8.2$Windows_x86 LibreOffice_project/</Application>
  <Pages>2</Pages>
  <Words>575</Words>
  <Characters>3080</Characters>
  <CharactersWithSpaces>3645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2022-05-02T23:51:00Z</dcterms:created>
  <dc:creator>Camila !</dc:creator>
  <dc:description/>
  <dc:language>es-ES</dc:language>
  <cp:lastModifiedBy/>
  <dcterms:modified xsi:type="dcterms:W3CDTF">2022-05-02T23:29:43Z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