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CE" w:rsidRPr="00943DF0" w:rsidRDefault="00B92F38" w:rsidP="00B92F38">
      <w:pPr>
        <w:jc w:val="center"/>
        <w:rPr>
          <w:rFonts w:ascii="Arial" w:hAnsi="Arial" w:cs="Arial"/>
          <w:b/>
          <w:sz w:val="24"/>
          <w:szCs w:val="24"/>
        </w:rPr>
      </w:pPr>
      <w:r w:rsidRPr="00943DF0">
        <w:rPr>
          <w:rFonts w:ascii="Arial" w:hAnsi="Arial" w:cs="Arial"/>
          <w:b/>
          <w:sz w:val="24"/>
          <w:szCs w:val="24"/>
        </w:rPr>
        <w:t>Trabajo Práctico de Historia</w:t>
      </w:r>
    </w:p>
    <w:p w:rsidR="00B92F38" w:rsidRPr="00943DF0" w:rsidRDefault="003B002E" w:rsidP="00B92F38">
      <w:pPr>
        <w:rPr>
          <w:rFonts w:ascii="Arial" w:hAnsi="Arial" w:cs="Arial"/>
          <w:b/>
          <w:sz w:val="24"/>
          <w:szCs w:val="24"/>
        </w:rPr>
      </w:pPr>
      <w:r w:rsidRPr="00943DF0">
        <w:rPr>
          <w:rFonts w:ascii="Arial" w:hAnsi="Arial" w:cs="Arial"/>
          <w:b/>
          <w:sz w:val="24"/>
          <w:szCs w:val="24"/>
        </w:rPr>
        <w:t>Alumno</w:t>
      </w:r>
      <w:r w:rsidR="00B92F38" w:rsidRPr="00943DF0">
        <w:rPr>
          <w:rFonts w:ascii="Arial" w:hAnsi="Arial" w:cs="Arial"/>
          <w:b/>
          <w:sz w:val="24"/>
          <w:szCs w:val="24"/>
        </w:rPr>
        <w:t>: Selene Aguilera</w:t>
      </w:r>
    </w:p>
    <w:p w:rsidR="00B92F38" w:rsidRDefault="00B92F38" w:rsidP="00B92F38">
      <w:pPr>
        <w:rPr>
          <w:rFonts w:ascii="Arial" w:hAnsi="Arial" w:cs="Arial"/>
          <w:b/>
          <w:sz w:val="24"/>
          <w:szCs w:val="24"/>
        </w:rPr>
      </w:pPr>
      <w:r w:rsidRPr="00943DF0">
        <w:rPr>
          <w:rFonts w:ascii="Arial" w:hAnsi="Arial" w:cs="Arial"/>
          <w:b/>
          <w:sz w:val="24"/>
          <w:szCs w:val="24"/>
        </w:rPr>
        <w:t>Curso. 6º B</w:t>
      </w:r>
    </w:p>
    <w:p w:rsidR="00943DF0" w:rsidRDefault="00943DF0" w:rsidP="00B92F38">
      <w:pPr>
        <w:rPr>
          <w:rFonts w:ascii="Arial" w:hAnsi="Arial" w:cs="Arial"/>
          <w:b/>
          <w:sz w:val="24"/>
          <w:szCs w:val="24"/>
        </w:rPr>
      </w:pPr>
    </w:p>
    <w:p w:rsidR="00943DF0" w:rsidRPr="00943DF0" w:rsidRDefault="00943DF0" w:rsidP="00B92F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:rsidR="00B92F38" w:rsidRDefault="00B92F38" w:rsidP="00B92F3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Averigüe cómo fue el San Juan colonial en cuanto a:</w:t>
      </w:r>
    </w:p>
    <w:p w:rsidR="00B92F38" w:rsidRDefault="00B92F38" w:rsidP="00B92F3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 Sanjuanina</w:t>
      </w:r>
    </w:p>
    <w:p w:rsidR="00B92F38" w:rsidRDefault="00B92F38" w:rsidP="00B92F3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Vivienda </w:t>
      </w:r>
    </w:p>
    <w:p w:rsidR="00B92F38" w:rsidRDefault="00B92F38" w:rsidP="00B92F3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Vestimenta</w:t>
      </w:r>
    </w:p>
    <w:p w:rsidR="00B92F38" w:rsidRDefault="00B92F38" w:rsidP="00B92F3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y festividades religiosas</w:t>
      </w:r>
    </w:p>
    <w:p w:rsidR="00B92F38" w:rsidRDefault="00B92F38" w:rsidP="00B92F38">
      <w:pPr>
        <w:rPr>
          <w:rFonts w:ascii="Arial" w:hAnsi="Arial" w:cs="Arial"/>
          <w:sz w:val="24"/>
          <w:szCs w:val="24"/>
        </w:rPr>
      </w:pPr>
    </w:p>
    <w:p w:rsidR="00B92F38" w:rsidRPr="003B002E" w:rsidRDefault="00B92F38" w:rsidP="00B92F38">
      <w:pPr>
        <w:rPr>
          <w:rFonts w:ascii="Arial" w:hAnsi="Arial" w:cs="Arial"/>
          <w:b/>
          <w:sz w:val="24"/>
          <w:szCs w:val="24"/>
          <w:u w:val="single"/>
        </w:rPr>
      </w:pPr>
      <w:r w:rsidRPr="003B002E">
        <w:rPr>
          <w:rFonts w:ascii="Arial" w:hAnsi="Arial" w:cs="Arial"/>
          <w:b/>
          <w:sz w:val="24"/>
          <w:szCs w:val="24"/>
          <w:u w:val="single"/>
        </w:rPr>
        <w:t>Familia:</w:t>
      </w:r>
    </w:p>
    <w:p w:rsidR="00B92F38" w:rsidRDefault="00B92F38" w:rsidP="00B92F38">
      <w:pPr>
        <w:rPr>
          <w:rFonts w:ascii="Arial" w:hAnsi="Arial" w:cs="Arial"/>
          <w:sz w:val="24"/>
          <w:szCs w:val="24"/>
        </w:rPr>
      </w:pPr>
      <w:r w:rsidRPr="00B92F38">
        <w:rPr>
          <w:rFonts w:ascii="Arial" w:hAnsi="Arial" w:cs="Arial"/>
          <w:sz w:val="24"/>
          <w:szCs w:val="24"/>
        </w:rPr>
        <w:t>La vida familiar en el San Juan de la colonia tenía costumbres y rutinas muy arraigadas. Sólo los hijos varones podían estudiar y ayudar a sus padres en los negocios o la política. Las mujeres se casaban muy jóvenes y estaban totalmente dedicadas al hogar. Muy pocas aprendían a leer y escribir en sus casas.</w:t>
      </w:r>
    </w:p>
    <w:p w:rsidR="00B92F38" w:rsidRPr="00B92F38" w:rsidRDefault="00B92F38" w:rsidP="00B92F38">
      <w:pPr>
        <w:rPr>
          <w:rFonts w:ascii="Arial" w:hAnsi="Arial" w:cs="Arial"/>
          <w:sz w:val="24"/>
          <w:szCs w:val="24"/>
        </w:rPr>
      </w:pPr>
      <w:r w:rsidRPr="00B92F38">
        <w:rPr>
          <w:rFonts w:ascii="Arial" w:hAnsi="Arial" w:cs="Arial"/>
          <w:sz w:val="24"/>
          <w:szCs w:val="24"/>
        </w:rPr>
        <w:t>Luego de un día de actividad, que incluía un almuerzo familiar y una larga siesta, al atardecer las campanas de las iglesias llamaban a la oración. En ese momento la familia se reunía con sus criados y el padre o la madre guiaban el rezo del rosario. Terminado el rosario, y a la luz de las velas, se cebaba mate y luego la familia hacía una comida sobria. Antes de ir a dormir, en algunas casas se jugaba a la</w:t>
      </w:r>
      <w:r w:rsidR="003B002E">
        <w:rPr>
          <w:rFonts w:ascii="Arial" w:hAnsi="Arial" w:cs="Arial"/>
          <w:sz w:val="24"/>
          <w:szCs w:val="24"/>
        </w:rPr>
        <w:t>s cartas o se leía en voz alta.</w:t>
      </w:r>
    </w:p>
    <w:p w:rsidR="00B92F38" w:rsidRDefault="00B92F38" w:rsidP="00B92F38">
      <w:pPr>
        <w:rPr>
          <w:rFonts w:ascii="Arial" w:hAnsi="Arial" w:cs="Arial"/>
          <w:sz w:val="24"/>
          <w:szCs w:val="24"/>
        </w:rPr>
      </w:pPr>
      <w:r w:rsidRPr="00B92F38">
        <w:rPr>
          <w:rFonts w:ascii="Arial" w:hAnsi="Arial" w:cs="Arial"/>
          <w:sz w:val="24"/>
          <w:szCs w:val="24"/>
        </w:rPr>
        <w:t>Los sábados los amigos de la familia se reunían en tertulias en las que se conversaba y se escuchaba tocar algún instrumento musical.</w:t>
      </w:r>
    </w:p>
    <w:p w:rsidR="003B002E" w:rsidRDefault="003B002E" w:rsidP="00B92F38">
      <w:pPr>
        <w:rPr>
          <w:rFonts w:ascii="Arial" w:hAnsi="Arial" w:cs="Arial"/>
          <w:sz w:val="24"/>
          <w:szCs w:val="24"/>
        </w:rPr>
      </w:pPr>
    </w:p>
    <w:p w:rsidR="003B002E" w:rsidRDefault="003B002E" w:rsidP="00B92F38">
      <w:pPr>
        <w:rPr>
          <w:rFonts w:ascii="Arial" w:hAnsi="Arial" w:cs="Arial"/>
          <w:b/>
          <w:sz w:val="24"/>
          <w:szCs w:val="24"/>
          <w:u w:val="single"/>
        </w:rPr>
      </w:pPr>
      <w:r w:rsidRPr="003B002E">
        <w:rPr>
          <w:rFonts w:ascii="Arial" w:hAnsi="Arial" w:cs="Arial"/>
          <w:b/>
          <w:sz w:val="24"/>
          <w:szCs w:val="24"/>
          <w:u w:val="single"/>
        </w:rPr>
        <w:t>Vivienda:</w:t>
      </w:r>
    </w:p>
    <w:p w:rsidR="003B002E" w:rsidRP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AD4A8F" wp14:editId="4F124D74">
            <wp:simplePos x="0" y="0"/>
            <wp:positionH relativeFrom="column">
              <wp:posOffset>3459391</wp:posOffset>
            </wp:positionH>
            <wp:positionV relativeFrom="paragraph">
              <wp:posOffset>433174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3" name="Imagen 3" descr="https://www.sanjuanalmundo.com/imagenes/?src=http://www.batallercontenidos.com/media/imagenes/00071900/00071949.jpg&amp;w=200&amp;h=200&amp;a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anjuanalmundo.com/imagenes/?src=http://www.batallercontenidos.com/media/imagenes/00071900/00071949.jpg&amp;w=200&amp;h=200&amp;a=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02E">
        <w:rPr>
          <w:rFonts w:ascii="Arial" w:hAnsi="Arial" w:cs="Arial"/>
          <w:sz w:val="24"/>
          <w:szCs w:val="24"/>
        </w:rPr>
        <w:t>Eran casonas de adobes con techos de caña y barro. Recién alrededor de 1800 los registros históricos hablan de casas con revoques de barro pintados a la cal y a veces un zocalillo de distinto color o revestido de piedra laja. Era característica la ancha puerta a la calle, de hojas macizas de algarrobo, adornadas con clavos de cabeza y un gran aldabón redondo. Las ventanas tenían rejas</w:t>
      </w:r>
      <w:r>
        <w:rPr>
          <w:rFonts w:ascii="Arial" w:hAnsi="Arial" w:cs="Arial"/>
          <w:sz w:val="24"/>
          <w:szCs w:val="24"/>
        </w:rPr>
        <w:t xml:space="preserve"> de madera o de hierro forjado.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t xml:space="preserve">Los solares tenían generalmente 24 metros de frente por 60 de fondo, aunque los había mayores. Las casas de las familias más pudientes la puerta abría a un zaguán con arco </w:t>
      </w:r>
      <w:r w:rsidRPr="003B002E">
        <w:rPr>
          <w:rFonts w:ascii="Arial" w:hAnsi="Arial" w:cs="Arial"/>
          <w:sz w:val="24"/>
          <w:szCs w:val="24"/>
        </w:rPr>
        <w:lastRenderedPageBreak/>
        <w:t>de medio punto y piso enladrillado o con un camino de lajas, con habitaciones a uno y otro costado Muchas casas tenían hasta tres patios. El primero se comunicaba con la sala en la que se recibían las visitas; el segundo estaba rodeado por las habitaciones mientras que el tercero, al fondo, era destinado a la huerta familiar, la cocina y las industrias domésticas.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Vestimenta:</w:t>
      </w:r>
    </w:p>
    <w:p w:rsidR="003B002E" w:rsidRP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111285" wp14:editId="30005ED2">
            <wp:simplePos x="0" y="0"/>
            <wp:positionH relativeFrom="column">
              <wp:posOffset>3650778</wp:posOffset>
            </wp:positionH>
            <wp:positionV relativeFrom="paragraph">
              <wp:posOffset>655527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2" name="Imagen 2" descr="https://www.sanjuanalmundo.com/imagenes/?src=http://www.batallercontenidos.com/media/imagenes/00071900/00071958.jpg&amp;w=200&amp;h=200&amp;a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njuanalmundo.com/imagenes/?src=http://www.batallercontenidos.com/media/imagenes/00071900/00071958.jpg&amp;w=200&amp;h=200&amp;a=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02E">
        <w:rPr>
          <w:rFonts w:ascii="Arial" w:hAnsi="Arial" w:cs="Arial"/>
          <w:sz w:val="24"/>
          <w:szCs w:val="24"/>
        </w:rPr>
        <w:t>La moda en la colonia variaba según el grupo social. Los más pudientes traían telas de Europa, así como sombreros y otros accesorios. Las damas de alta sociedad vestían al estilo español, con faldas anchas y largas y enaguas bordadas y con puntillas y blusas de encaje o lino. Era habitual el uso de mantillas, peinetones y</w:t>
      </w:r>
      <w:r>
        <w:rPr>
          <w:rFonts w:ascii="Arial" w:hAnsi="Arial" w:cs="Arial"/>
          <w:sz w:val="24"/>
          <w:szCs w:val="24"/>
        </w:rPr>
        <w:t xml:space="preserve"> zapatos con hebillas de plata.</w:t>
      </w:r>
    </w:p>
    <w:p w:rsidR="003B002E" w:rsidRP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t>Los hombres de las clases altas vestían capas de paño, pantalones ajustados y calzones de lienzo, camisas de seda y corbatas que terminaban en flecos. Como calzado, usaban botas adornadas con incrustaciones de plata.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t>Las personas de menos recursos vestían de manera sencilla, con prendas que ellos mismos confeccionaban con telas de algodón y lanas de guanaco o vicuña. Era común el uso del poncho.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</w:p>
    <w:p w:rsidR="003B002E" w:rsidRDefault="003B002E" w:rsidP="003B002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Juegos:</w:t>
      </w:r>
    </w:p>
    <w:p w:rsidR="003B002E" w:rsidRPr="003B002E" w:rsidRDefault="003B002E" w:rsidP="003B00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3B002E">
        <w:rPr>
          <w:rFonts w:ascii="Arial" w:hAnsi="Arial" w:cs="Arial"/>
          <w:sz w:val="24"/>
          <w:szCs w:val="24"/>
        </w:rPr>
        <w:t>n el San Juan colonial eran habituales otros entretenimientos populares. Uno de ellos eran las corridas de toros, generalmente programada como espectáculo para algún día de fiesta. E</w:t>
      </w:r>
      <w:r>
        <w:rPr>
          <w:rFonts w:ascii="Arial" w:hAnsi="Arial" w:cs="Arial"/>
          <w:sz w:val="24"/>
          <w:szCs w:val="24"/>
        </w:rPr>
        <w:t>l escenario era la Plaza Mayor.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t>Otro juego que apasionaba a ricos y pobres era la riña de gallos. Muchas casas, especialmente en las afueras, tenían gallos de pelea y había viviendas donde funcionaban los reñideros, en los que se jugaba por dinero.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</w:p>
    <w:p w:rsidR="00943DF0" w:rsidRDefault="00943DF0" w:rsidP="003B002E">
      <w:pPr>
        <w:rPr>
          <w:rFonts w:ascii="Arial" w:hAnsi="Arial" w:cs="Arial"/>
          <w:b/>
          <w:sz w:val="24"/>
          <w:szCs w:val="24"/>
          <w:u w:val="single"/>
        </w:rPr>
      </w:pPr>
    </w:p>
    <w:p w:rsidR="00943DF0" w:rsidRDefault="00943DF0" w:rsidP="003B002E">
      <w:pPr>
        <w:rPr>
          <w:rFonts w:ascii="Arial" w:hAnsi="Arial" w:cs="Arial"/>
          <w:b/>
          <w:sz w:val="24"/>
          <w:szCs w:val="24"/>
          <w:u w:val="single"/>
        </w:rPr>
      </w:pPr>
    </w:p>
    <w:p w:rsidR="00943DF0" w:rsidRDefault="00943DF0" w:rsidP="003B002E">
      <w:pPr>
        <w:rPr>
          <w:rFonts w:ascii="Arial" w:hAnsi="Arial" w:cs="Arial"/>
          <w:b/>
          <w:sz w:val="24"/>
          <w:szCs w:val="24"/>
          <w:u w:val="single"/>
        </w:rPr>
      </w:pPr>
    </w:p>
    <w:p w:rsidR="00943DF0" w:rsidRDefault="00943DF0" w:rsidP="003B002E">
      <w:pPr>
        <w:rPr>
          <w:rFonts w:ascii="Arial" w:hAnsi="Arial" w:cs="Arial"/>
          <w:b/>
          <w:sz w:val="24"/>
          <w:szCs w:val="24"/>
          <w:u w:val="single"/>
        </w:rPr>
      </w:pPr>
    </w:p>
    <w:p w:rsidR="00943DF0" w:rsidRDefault="00943DF0" w:rsidP="003B002E">
      <w:pPr>
        <w:rPr>
          <w:rFonts w:ascii="Arial" w:hAnsi="Arial" w:cs="Arial"/>
          <w:b/>
          <w:sz w:val="24"/>
          <w:szCs w:val="24"/>
          <w:u w:val="single"/>
        </w:rPr>
      </w:pPr>
    </w:p>
    <w:p w:rsidR="00943DF0" w:rsidRDefault="00943DF0" w:rsidP="003B002E">
      <w:pPr>
        <w:rPr>
          <w:rFonts w:ascii="Arial" w:hAnsi="Arial" w:cs="Arial"/>
          <w:b/>
          <w:sz w:val="24"/>
          <w:szCs w:val="24"/>
          <w:u w:val="single"/>
        </w:rPr>
      </w:pPr>
    </w:p>
    <w:p w:rsidR="003B002E" w:rsidRDefault="003B002E" w:rsidP="003B002E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lastRenderedPageBreak/>
        <w:t>Festividades religiosas:</w:t>
      </w:r>
    </w:p>
    <w:p w:rsidR="003B002E" w:rsidRP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42645A" wp14:editId="23107DCE">
            <wp:simplePos x="0" y="0"/>
            <wp:positionH relativeFrom="column">
              <wp:posOffset>3650260</wp:posOffset>
            </wp:positionH>
            <wp:positionV relativeFrom="paragraph">
              <wp:posOffset>253306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" name="Imagen 1" descr="https://www.sanjuanalmundo.com/imagenes/?src=http://www.batallercontenidos.com/media/imagenes/00071900/00071952.jpg&amp;w=200&amp;h=200&amp;a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njuanalmundo.com/imagenes/?src=http://www.batallercontenidos.com/media/imagenes/00071900/00071952.jpg&amp;w=200&amp;h=200&amp;a=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02E">
        <w:rPr>
          <w:rFonts w:ascii="Arial" w:hAnsi="Arial" w:cs="Arial"/>
          <w:sz w:val="24"/>
          <w:szCs w:val="24"/>
        </w:rPr>
        <w:t>Semana Santa, Corpus Christi y los días de los patronos San Juan y San Pedro eran la</w:t>
      </w:r>
      <w:r>
        <w:rPr>
          <w:rFonts w:ascii="Arial" w:hAnsi="Arial" w:cs="Arial"/>
          <w:sz w:val="24"/>
          <w:szCs w:val="24"/>
        </w:rPr>
        <w:t>s festividades más importantes.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t>Los días jueves y viernes santo los miembros del cabildo, el clero, los miembros de las órdenes religiosas y la población en general recorría en procesión las cuatro cuadras de la plaz</w:t>
      </w:r>
      <w:r>
        <w:rPr>
          <w:rFonts w:ascii="Arial" w:hAnsi="Arial" w:cs="Arial"/>
          <w:sz w:val="24"/>
          <w:szCs w:val="24"/>
        </w:rPr>
        <w:t>a llevando la imagen de Cristo.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t>Corpus Christi era una de las festividades religiosas más solemnes. La misa se oficiaba por la mañana, con asistencia de las principales autoridades y el clero que por la tarde encabezaban una procesión que caminaba sobre calles cubiertas de pájaro bobo, hinojo y hierba buena.</w:t>
      </w:r>
    </w:p>
    <w:p w:rsidR="003B002E" w:rsidRDefault="003B002E" w:rsidP="003B002E">
      <w:pPr>
        <w:rPr>
          <w:rFonts w:ascii="Arial" w:hAnsi="Arial" w:cs="Arial"/>
          <w:sz w:val="24"/>
          <w:szCs w:val="24"/>
        </w:rPr>
      </w:pPr>
      <w:r w:rsidRPr="003B002E">
        <w:rPr>
          <w:rFonts w:ascii="Arial" w:hAnsi="Arial" w:cs="Arial"/>
          <w:sz w:val="24"/>
          <w:szCs w:val="24"/>
        </w:rPr>
        <w:t>Para San Juan y San Pedro, los días 24 y 29 de junio, los disparos de arcabuces despertaban a la población que acudía a la iglesia mayor al oficio religioso que contaba con la presencia de las principales autoridades civiles y religiosas. Al atardecer, los vecinos preparaban las fogatas que encendían a la noche.</w:t>
      </w:r>
    </w:p>
    <w:p w:rsidR="003B002E" w:rsidRPr="003B002E" w:rsidRDefault="003B002E" w:rsidP="003B002E">
      <w:pPr>
        <w:rPr>
          <w:rFonts w:ascii="Arial" w:hAnsi="Arial" w:cs="Arial"/>
          <w:sz w:val="24"/>
          <w:szCs w:val="24"/>
        </w:rPr>
      </w:pPr>
    </w:p>
    <w:sectPr w:rsidR="003B002E" w:rsidRPr="003B0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7C8E"/>
    <w:multiLevelType w:val="hybridMultilevel"/>
    <w:tmpl w:val="34FE83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50C1"/>
    <w:multiLevelType w:val="hybridMultilevel"/>
    <w:tmpl w:val="76FE81AC"/>
    <w:lvl w:ilvl="0" w:tplc="0C0A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8"/>
    <w:rsid w:val="003B002E"/>
    <w:rsid w:val="00943DF0"/>
    <w:rsid w:val="00B92F38"/>
    <w:rsid w:val="00C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DC44"/>
  <w15:chartTrackingRefBased/>
  <w15:docId w15:val="{57D95478-276B-4928-A3AE-A48AE8C3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2022-05-25T00:18:00Z</dcterms:created>
  <dcterms:modified xsi:type="dcterms:W3CDTF">2022-05-25T00:43:00Z</dcterms:modified>
</cp:coreProperties>
</file>