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7" w:rsidRDefault="006C1924" w:rsidP="006C1924">
      <w:pPr>
        <w:pStyle w:val="Ttulo1"/>
        <w:rPr>
          <w:rFonts w:cs="Aharoni"/>
          <w:sz w:val="44"/>
        </w:rPr>
      </w:pPr>
      <w:r>
        <w:rPr>
          <w:rFonts w:cs="Aharoni"/>
          <w:sz w:val="44"/>
        </w:rPr>
        <w:t xml:space="preserve"> </w:t>
      </w:r>
      <w:r w:rsidR="00ED1193">
        <w:rPr>
          <w:noProof/>
          <w:lang w:eastAsia="es-AR"/>
        </w:rPr>
        <w:drawing>
          <wp:inline distT="0" distB="0" distL="0" distR="0">
            <wp:extent cx="1576286" cy="1050857"/>
            <wp:effectExtent l="19050" t="0" r="4864" b="0"/>
            <wp:docPr id="8" name="5 Imagen" descr="633603a5-dbfa-4509-9d45-6bb9b62542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3603a5-dbfa-4509-9d45-6bb9b62542d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6610" cy="10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193">
        <w:rPr>
          <w:rFonts w:cs="Aharoni"/>
          <w:sz w:val="44"/>
        </w:rPr>
        <w:t xml:space="preserve"> </w:t>
      </w:r>
      <w:r w:rsidRPr="006C1924">
        <w:rPr>
          <w:rFonts w:cs="Aharoni"/>
          <w:sz w:val="44"/>
        </w:rPr>
        <w:t>Trabajo Práctico de Economía Global</w:t>
      </w:r>
      <w:r>
        <w:rPr>
          <w:rFonts w:cs="Aharoni"/>
          <w:sz w:val="44"/>
        </w:rPr>
        <w:t>:</w:t>
      </w:r>
      <w:r w:rsidR="00ED1193" w:rsidRPr="00ED1193">
        <w:rPr>
          <w:noProof/>
          <w:lang w:eastAsia="es-AR"/>
        </w:rPr>
        <w:t xml:space="preserve"> </w:t>
      </w:r>
    </w:p>
    <w:p w:rsidR="006C1924" w:rsidRDefault="006C1924" w:rsidP="006C1924">
      <w:r>
        <w:t>Nombre y Apellido:</w:t>
      </w:r>
      <w:r w:rsidR="00ED1193">
        <w:t xml:space="preserve"> </w:t>
      </w:r>
      <w:r>
        <w:t>Rodano Maria Emilia.</w:t>
      </w:r>
    </w:p>
    <w:p w:rsidR="006C1924" w:rsidRPr="006C1924" w:rsidRDefault="006C1924" w:rsidP="006C1924">
      <w:pPr>
        <w:rPr>
          <w:b/>
          <w:sz w:val="24"/>
        </w:rPr>
      </w:pPr>
      <w:r w:rsidRPr="006C1924">
        <w:rPr>
          <w:b/>
          <w:sz w:val="24"/>
        </w:rPr>
        <w:t xml:space="preserve">                                                                 </w:t>
      </w:r>
      <w:r w:rsidRPr="006C1924">
        <w:rPr>
          <w:b/>
          <w:sz w:val="24"/>
          <w:highlight w:val="magenta"/>
        </w:rPr>
        <w:t>ACTIVIDADES</w:t>
      </w:r>
    </w:p>
    <w:p w:rsidR="006C1924" w:rsidRPr="00ED1193" w:rsidRDefault="006C1924" w:rsidP="006C1924">
      <w:pPr>
        <w:rPr>
          <w:b/>
          <w:color w:val="E40059" w:themeColor="accent2"/>
        </w:rPr>
      </w:pPr>
      <w:r w:rsidRPr="00ED1193">
        <w:rPr>
          <w:b/>
          <w:color w:val="E40059" w:themeColor="accent2"/>
        </w:rPr>
        <w:t xml:space="preserve">1. La situación económica y política, en Perú y Argentina </w:t>
      </w:r>
    </w:p>
    <w:p w:rsidR="006C1924" w:rsidRPr="006C1924" w:rsidRDefault="006C1924" w:rsidP="006C1924">
      <w:pPr>
        <w:rPr>
          <w:rFonts w:cstheme="minorHAnsi"/>
          <w:sz w:val="24"/>
        </w:rPr>
      </w:pPr>
      <w:r w:rsidRPr="006C1924">
        <w:rPr>
          <w:rFonts w:cstheme="minorHAnsi"/>
          <w:spacing w:val="2"/>
          <w:szCs w:val="21"/>
          <w:shd w:val="clear" w:color="auto" w:fill="E8EAF6"/>
        </w:rPr>
        <w:t>En Perú, la Fed comenzará pronto a retirar estímulos monetarios, pero localmente La gente seguirá pensando que los escenarios políticos/económicos extremos son más y más Además, la retirada del estímulo económico y los vientos bajos Cola externa a pesar de avances en vacunación e inicio de nuevas operaciones Mina de cobre. Prevemos un crecimiento del 3,0% en 2023.</w:t>
      </w:r>
    </w:p>
    <w:p w:rsidR="006C1924" w:rsidRDefault="006C1924" w:rsidP="006C1924"/>
    <w:p w:rsidR="006C1924" w:rsidRPr="00ED1193" w:rsidRDefault="006C1924" w:rsidP="006C1924">
      <w:pPr>
        <w:rPr>
          <w:b/>
          <w:color w:val="E40059" w:themeColor="accent2"/>
        </w:rPr>
      </w:pPr>
      <w:r w:rsidRPr="00ED1193">
        <w:rPr>
          <w:b/>
          <w:color w:val="E40059" w:themeColor="accent2"/>
        </w:rPr>
        <w:t>2. Ficha Biográfica:</w:t>
      </w:r>
    </w:p>
    <w:p w:rsidR="006C1924" w:rsidRDefault="006C1924" w:rsidP="006C1924">
      <w:r>
        <w:t>● Fuente: BBVA</w:t>
      </w:r>
    </w:p>
    <w:p w:rsidR="006C1924" w:rsidRDefault="006C1924" w:rsidP="006C1924">
      <w:r>
        <w:t xml:space="preserve"> ● Fecha: 25/01/2022 </w:t>
      </w:r>
    </w:p>
    <w:p w:rsidR="006C1924" w:rsidRDefault="006C1924" w:rsidP="006C1924">
      <w:r>
        <w:t>● Autor: Vanesa Belapatiño - Yalina Crispin - Francisco Grippa - Hugo Perea - Hugo Vega</w:t>
      </w:r>
    </w:p>
    <w:p w:rsidR="006C1924" w:rsidRDefault="006C1924" w:rsidP="006C1924">
      <w:r>
        <w:t xml:space="preserve"> ● Título del art. periodístico: Situación Perú. Primer trimestre 2022</w:t>
      </w:r>
    </w:p>
    <w:p w:rsidR="006C1924" w:rsidRPr="00ED1193" w:rsidRDefault="006C1924" w:rsidP="006C1924">
      <w:pPr>
        <w:rPr>
          <w:b/>
          <w:color w:val="E40059" w:themeColor="accent2"/>
        </w:rPr>
      </w:pPr>
      <w:r w:rsidRPr="00ED1193">
        <w:rPr>
          <w:b/>
          <w:color w:val="E40059" w:themeColor="accent2"/>
        </w:rPr>
        <w:t>3. Completa el siguiente cuadro:</w:t>
      </w:r>
    </w:p>
    <w:tbl>
      <w:tblPr>
        <w:tblStyle w:val="Tablaconcuadrcula"/>
        <w:tblW w:w="8824" w:type="dxa"/>
        <w:tblLook w:val="0000" w:firstRow="0" w:lastRow="0" w:firstColumn="0" w:lastColumn="0" w:noHBand="0" w:noVBand="0"/>
      </w:tblPr>
      <w:tblGrid>
        <w:gridCol w:w="1844"/>
        <w:gridCol w:w="3261"/>
        <w:gridCol w:w="3719"/>
      </w:tblGrid>
      <w:tr w:rsidR="00AD027E" w:rsidTr="00ED1193">
        <w:trPr>
          <w:trHeight w:val="460"/>
        </w:trPr>
        <w:tc>
          <w:tcPr>
            <w:tcW w:w="1844" w:type="dxa"/>
          </w:tcPr>
          <w:p w:rsidR="00AD027E" w:rsidRDefault="00AD027E" w:rsidP="006C1924"/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3300"/>
          </w:tcPr>
          <w:p w:rsidR="00AD027E" w:rsidRDefault="00AD027E" w:rsidP="006C1924">
            <w:r>
              <w:t xml:space="preserve">                         PERU</w:t>
            </w:r>
            <w:r w:rsidR="00ED1193">
              <w:rPr>
                <w:noProof/>
                <w:lang w:eastAsia="es-AR"/>
              </w:rPr>
              <w:drawing>
                <wp:inline distT="0" distB="0" distL="0" distR="0">
                  <wp:extent cx="438542" cy="291830"/>
                  <wp:effectExtent l="19050" t="0" r="0" b="0"/>
                  <wp:docPr id="5" name="0 Imagen" descr="descarga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 (2)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615" cy="29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  <w:tcBorders>
              <w:left w:val="single" w:sz="4" w:space="0" w:color="auto"/>
            </w:tcBorders>
            <w:shd w:val="clear" w:color="auto" w:fill="87BAFF" w:themeFill="accent5" w:themeFillTint="66"/>
          </w:tcPr>
          <w:p w:rsidR="00AD027E" w:rsidRDefault="00AD027E" w:rsidP="006C1924">
            <w:r>
              <w:t xml:space="preserve"> </w:t>
            </w:r>
            <w:r w:rsidR="00ED1193">
              <w:t xml:space="preserve">                       </w:t>
            </w:r>
            <w:r>
              <w:t xml:space="preserve"> ARGENTINA</w:t>
            </w:r>
            <w:r w:rsidR="00ED1193">
              <w:rPr>
                <w:noProof/>
                <w:lang w:eastAsia="es-AR"/>
              </w:rPr>
              <w:drawing>
                <wp:inline distT="0" distB="0" distL="0" distR="0">
                  <wp:extent cx="389512" cy="242759"/>
                  <wp:effectExtent l="19050" t="0" r="0" b="0"/>
                  <wp:docPr id="4" name="1 Imagen" descr="descarga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 (3)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877" cy="242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27E" w:rsidTr="00ED1193">
        <w:trPr>
          <w:trHeight w:val="2500"/>
        </w:trPr>
        <w:tc>
          <w:tcPr>
            <w:tcW w:w="1844" w:type="dxa"/>
            <w:shd w:val="clear" w:color="auto" w:fill="FFD7E7" w:themeFill="accent1" w:themeFillTint="33"/>
          </w:tcPr>
          <w:p w:rsidR="00AD027E" w:rsidRDefault="00AC1C91" w:rsidP="006C1924">
            <w:r>
              <w:t>Situación Actual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AD027E" w:rsidRDefault="00AC1C91" w:rsidP="00AC1C91">
            <w:pPr>
              <w:shd w:val="clear" w:color="auto" w:fill="E8EAF6"/>
              <w:jc w:val="both"/>
            </w:pPr>
            <w:r>
              <w:t xml:space="preserve">En el año 2022 crecerá un 2,3%.la economía peruana ha crecido un 3,8%. Se ha declarado estado de emergencia para disminuir la delincuencia en dicho país </w:t>
            </w:r>
          </w:p>
        </w:tc>
        <w:tc>
          <w:tcPr>
            <w:tcW w:w="3719" w:type="dxa"/>
            <w:tcBorders>
              <w:left w:val="single" w:sz="4" w:space="0" w:color="auto"/>
            </w:tcBorders>
          </w:tcPr>
          <w:p w:rsidR="00AD027E" w:rsidRDefault="00AC1C91" w:rsidP="006C1924">
            <w:r>
              <w:t>Por otro lado argentina posee diversos problemas tanto como la inflación,la devaluación de la moneda, el desempleo etc.</w:t>
            </w:r>
          </w:p>
        </w:tc>
      </w:tr>
      <w:tr w:rsidR="00AD027E" w:rsidTr="00ED1193">
        <w:trPr>
          <w:trHeight w:val="1394"/>
        </w:trPr>
        <w:tc>
          <w:tcPr>
            <w:tcW w:w="1844" w:type="dxa"/>
            <w:shd w:val="clear" w:color="auto" w:fill="FF87B9" w:themeFill="accent1" w:themeFillTint="99"/>
          </w:tcPr>
          <w:p w:rsidR="00AD027E" w:rsidRDefault="00AC1C91" w:rsidP="006C1924">
            <w:r>
              <w:t>Variables macroeconómicas que son afectada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AD027E" w:rsidRDefault="00AC1C91" w:rsidP="00AC1C91">
            <w:r>
              <w:t>Crecimiento Económico, PIB, Inflación.</w:t>
            </w:r>
          </w:p>
        </w:tc>
        <w:tc>
          <w:tcPr>
            <w:tcW w:w="3719" w:type="dxa"/>
            <w:tcBorders>
              <w:left w:val="single" w:sz="4" w:space="0" w:color="auto"/>
            </w:tcBorders>
          </w:tcPr>
          <w:p w:rsidR="00AD027E" w:rsidRDefault="00AC1C91" w:rsidP="006C1924">
            <w:r>
              <w:t>Inflación, tasa de desempleo.</w:t>
            </w:r>
          </w:p>
        </w:tc>
      </w:tr>
      <w:tr w:rsidR="00AC1C91" w:rsidTr="00ED1193">
        <w:trPr>
          <w:trHeight w:val="1777"/>
        </w:trPr>
        <w:tc>
          <w:tcPr>
            <w:tcW w:w="1844" w:type="dxa"/>
            <w:shd w:val="clear" w:color="auto" w:fill="FF388C" w:themeFill="accent1"/>
          </w:tcPr>
          <w:p w:rsidR="00AC1C91" w:rsidRDefault="00AC1C91" w:rsidP="006C1924">
            <w:r>
              <w:t>Consecuencias económicas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AC1C91" w:rsidRPr="00AD027E" w:rsidRDefault="00AC1C91" w:rsidP="00AD7B18">
            <w:pPr>
              <w:shd w:val="clear" w:color="auto" w:fill="E8EAF6"/>
              <w:jc w:val="both"/>
              <w:rPr>
                <w:rFonts w:ascii="Helvetica" w:eastAsia="Times New Roman" w:hAnsi="Helvetica" w:cs="Helvetica"/>
                <w:spacing w:val="2"/>
                <w:sz w:val="21"/>
                <w:szCs w:val="21"/>
                <w:lang w:eastAsia="es-AR"/>
              </w:rPr>
            </w:pPr>
            <w:r w:rsidRPr="00AD027E">
              <w:rPr>
                <w:rFonts w:ascii="Helvetica" w:eastAsia="Times New Roman" w:hAnsi="Helvetica" w:cs="Helvetica"/>
                <w:spacing w:val="2"/>
                <w:sz w:val="21"/>
                <w:szCs w:val="21"/>
                <w:lang w:eastAsia="es-AR"/>
              </w:rPr>
              <w:t>Los precios de los metales caerán despacio - Déficit del 2,9% del PIB en 2022 - La deuda pública total subió Aumentar gradualmente a alrededor del 40% producto interior bruto a medio plazo - Depreciación de la moneda local y la disminución esperada precio de la materia prima</w:t>
            </w:r>
          </w:p>
          <w:p w:rsidR="00AC1C91" w:rsidRDefault="00AC1C91" w:rsidP="00AD7B18">
            <w:pPr>
              <w:shd w:val="clear" w:color="auto" w:fill="FFFFFF"/>
              <w:spacing w:after="77"/>
              <w:jc w:val="center"/>
            </w:pPr>
          </w:p>
        </w:tc>
        <w:tc>
          <w:tcPr>
            <w:tcW w:w="3719" w:type="dxa"/>
            <w:tcBorders>
              <w:left w:val="single" w:sz="4" w:space="0" w:color="auto"/>
            </w:tcBorders>
          </w:tcPr>
          <w:p w:rsidR="00AC1C91" w:rsidRDefault="00ED1193" w:rsidP="00ED1193">
            <w:r>
              <w:rPr>
                <w:rFonts w:ascii="Helvetica" w:hAnsi="Helvetica" w:cs="Helvetica"/>
                <w:spacing w:val="2"/>
                <w:sz w:val="21"/>
                <w:szCs w:val="21"/>
                <w:shd w:val="clear" w:color="auto" w:fill="E8EAF6"/>
              </w:rPr>
              <w:t>- Crecimiento económico 3,6% según el Banco Mundial - Contar con un asesor personal ya estan hablando de inflacion Más del 60 % interanual para 2022 - El desempleo es del 9,2% Fondo Monetario Internacional - una buena expectativa depreciación al final del año En 2022, $1 = $300</w:t>
            </w:r>
          </w:p>
        </w:tc>
      </w:tr>
    </w:tbl>
    <w:p w:rsidR="006C1924" w:rsidRDefault="006C1924" w:rsidP="006C1924"/>
    <w:p w:rsidR="00ED1193" w:rsidRPr="006C1924" w:rsidRDefault="00ED1193" w:rsidP="006C1924"/>
    <w:sectPr w:rsidR="00ED1193" w:rsidRPr="006C1924" w:rsidSect="00ED1193">
      <w:pgSz w:w="12240" w:h="15840"/>
      <w:pgMar w:top="1417" w:right="1701" w:bottom="1417" w:left="1701" w:header="708" w:footer="708" w:gutter="0"/>
      <w:pgBorders w:offsetFrom="page">
        <w:top w:val="dotDash" w:sz="4" w:space="24" w:color="FFD7E7" w:themeColor="accent1" w:themeTint="33"/>
        <w:left w:val="dotDash" w:sz="4" w:space="24" w:color="FFD7E7" w:themeColor="accent1" w:themeTint="33"/>
        <w:bottom w:val="dotDash" w:sz="4" w:space="24" w:color="FFD7E7" w:themeColor="accent1" w:themeTint="33"/>
        <w:right w:val="dotDash" w:sz="4" w:space="24" w:color="FFD7E7" w:themeColor="accent1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24"/>
    <w:rsid w:val="001026B7"/>
    <w:rsid w:val="006C1924"/>
    <w:rsid w:val="00AC1C91"/>
    <w:rsid w:val="00AD027E"/>
    <w:rsid w:val="00B708BC"/>
    <w:rsid w:val="00E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AF403-31EF-6B4E-8F06-4C51D0F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6B7"/>
  </w:style>
  <w:style w:type="paragraph" w:styleId="Ttulo1">
    <w:name w:val="heading 1"/>
    <w:basedOn w:val="Normal"/>
    <w:next w:val="Normal"/>
    <w:link w:val="Ttulo1Car"/>
    <w:uiPriority w:val="9"/>
    <w:qFormat/>
    <w:rsid w:val="006C19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192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table" w:styleId="Sombreadoclaro-nfasis1">
    <w:name w:val="Light Shading Accent 1"/>
    <w:basedOn w:val="Tablanormal"/>
    <w:uiPriority w:val="60"/>
    <w:rsid w:val="00AD027E"/>
    <w:pPr>
      <w:spacing w:after="0" w:line="240" w:lineRule="auto"/>
    </w:pPr>
    <w:rPr>
      <w:color w:val="E80061" w:themeColor="accent1" w:themeShade="BF"/>
    </w:rPr>
    <w:tblPr>
      <w:tblStyleRowBandSize w:val="1"/>
      <w:tblStyleColBandSize w:val="1"/>
      <w:tblBorders>
        <w:top w:val="single" w:sz="8" w:space="0" w:color="FF388C" w:themeColor="accent1"/>
        <w:bottom w:val="single" w:sz="8" w:space="0" w:color="FF388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Tablaconcuadrcula">
    <w:name w:val="Table Grid"/>
    <w:basedOn w:val="Tablanormal"/>
    <w:uiPriority w:val="59"/>
    <w:rsid w:val="00AD02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uitypography-root">
    <w:name w:val="muitypography-root"/>
    <w:basedOn w:val="Normal"/>
    <w:rsid w:val="00AD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muibutton-label">
    <w:name w:val="muibutton-label"/>
    <w:basedOn w:val="Fuentedeprrafopredeter"/>
    <w:rsid w:val="00AD027E"/>
  </w:style>
  <w:style w:type="paragraph" w:styleId="Textodeglobo">
    <w:name w:val="Balloon Text"/>
    <w:basedOn w:val="Normal"/>
    <w:link w:val="TextodegloboCar"/>
    <w:uiPriority w:val="99"/>
    <w:semiHidden/>
    <w:unhideWhenUsed/>
    <w:rsid w:val="00ED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887">
          <w:marLeft w:val="-184"/>
          <w:marRight w:val="-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48824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emilia12rodano3@gmail.com</cp:lastModifiedBy>
  <cp:revision>2</cp:revision>
  <dcterms:created xsi:type="dcterms:W3CDTF">2022-05-25T17:13:00Z</dcterms:created>
  <dcterms:modified xsi:type="dcterms:W3CDTF">2022-05-25T17:13:00Z</dcterms:modified>
</cp:coreProperties>
</file>