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B2F" w:rsidRDefault="000C0B2F" w:rsidP="000C0B2F">
      <w:pPr>
        <w:tabs>
          <w:tab w:val="left" w:pos="284"/>
        </w:tabs>
        <w:spacing w:after="120"/>
        <w:jc w:val="center"/>
        <w:rPr>
          <w:rFonts w:ascii="Bookman Old Style" w:hAnsi="Bookman Old Style" w:cs="Arial"/>
          <w:sz w:val="28"/>
          <w:szCs w:val="24"/>
        </w:rPr>
      </w:pPr>
      <w:r>
        <w:rPr>
          <w:rFonts w:ascii="Bookman Old Style" w:hAnsi="Bookman Old Style" w:cs="Arial"/>
          <w:sz w:val="28"/>
          <w:szCs w:val="24"/>
        </w:rPr>
        <w:t>DISTRIBUCIÓN TERRITORIAL DE LA POBLACIÓN ARGENTINA</w:t>
      </w:r>
    </w:p>
    <w:p w:rsidR="000C0B2F" w:rsidRDefault="000C0B2F" w:rsidP="000C0B2F">
      <w:pPr>
        <w:pStyle w:val="Textoindependiente"/>
        <w:spacing w:line="360" w:lineRule="auto"/>
        <w:ind w:left="0"/>
        <w:jc w:val="both"/>
        <w:rPr>
          <w:rFonts w:ascii="Bookman Old Style" w:eastAsia="Calibri" w:hAnsi="Bookman Old Style" w:cs="Times New Roman"/>
          <w:color w:val="000000" w:themeColor="text1"/>
          <w:sz w:val="24"/>
          <w:szCs w:val="32"/>
          <w:lang w:val="es-AR"/>
        </w:rPr>
      </w:pPr>
    </w:p>
    <w:p w:rsidR="000C0B2F" w:rsidRDefault="000C0B2F" w:rsidP="000C0B2F">
      <w:pPr>
        <w:tabs>
          <w:tab w:val="left" w:pos="284"/>
        </w:tabs>
        <w:spacing w:after="120" w:line="360" w:lineRule="auto"/>
        <w:jc w:val="both"/>
        <w:rPr>
          <w:rFonts w:ascii="Bookman Old Style" w:eastAsia="Calibri" w:hAnsi="Bookman Old Style" w:cs="Times New Roman"/>
          <w:color w:val="000000" w:themeColor="text1"/>
          <w:sz w:val="24"/>
          <w:szCs w:val="32"/>
        </w:rPr>
      </w:pPr>
      <w:r w:rsidRPr="00E54C19">
        <w:rPr>
          <w:rFonts w:ascii="Bookman Old Style" w:eastAsia="Calibri" w:hAnsi="Bookman Old Style" w:cs="Times New Roman"/>
          <w:color w:val="000000" w:themeColor="text1"/>
          <w:sz w:val="24"/>
          <w:szCs w:val="32"/>
        </w:rPr>
        <w:t xml:space="preserve">En la Argentina, </w:t>
      </w:r>
      <w:r>
        <w:rPr>
          <w:rFonts w:ascii="Bookman Old Style" w:eastAsia="Calibri" w:hAnsi="Bookman Old Style" w:cs="Times New Roman"/>
          <w:color w:val="000000" w:themeColor="text1"/>
          <w:sz w:val="24"/>
          <w:szCs w:val="32"/>
        </w:rPr>
        <w:t>l</w:t>
      </w:r>
      <w:r w:rsidRPr="00E54C19">
        <w:rPr>
          <w:rFonts w:ascii="Bookman Old Style" w:eastAsia="Calibri" w:hAnsi="Bookman Old Style" w:cs="Times New Roman"/>
          <w:color w:val="000000" w:themeColor="text1"/>
          <w:sz w:val="24"/>
          <w:szCs w:val="32"/>
        </w:rPr>
        <w:t>a distribución de la población es heterogénea porque existen zonas con ocupación intensiva, como las grandes ciudades y los oasis de cultivos; otras de ocupación media, como la llanura Chaco-pampeana, y varias de ocupación discontinua,</w:t>
      </w:r>
      <w:r>
        <w:rPr>
          <w:rFonts w:ascii="Bookman Old Style" w:eastAsia="Calibri" w:hAnsi="Bookman Old Style" w:cs="Times New Roman"/>
          <w:color w:val="000000" w:themeColor="text1"/>
          <w:sz w:val="24"/>
          <w:szCs w:val="32"/>
        </w:rPr>
        <w:t xml:space="preserve"> </w:t>
      </w:r>
      <w:r w:rsidRPr="00E54C19">
        <w:rPr>
          <w:rFonts w:ascii="Bookman Old Style" w:eastAsia="Calibri" w:hAnsi="Bookman Old Style" w:cs="Times New Roman"/>
          <w:color w:val="000000" w:themeColor="text1"/>
          <w:sz w:val="24"/>
          <w:szCs w:val="32"/>
        </w:rPr>
        <w:t>como</w:t>
      </w:r>
      <w:r>
        <w:rPr>
          <w:rFonts w:ascii="Bookman Old Style" w:eastAsia="Calibri" w:hAnsi="Bookman Old Style" w:cs="Times New Roman"/>
          <w:color w:val="000000" w:themeColor="text1"/>
          <w:sz w:val="24"/>
          <w:szCs w:val="32"/>
        </w:rPr>
        <w:t xml:space="preserve"> </w:t>
      </w:r>
      <w:r w:rsidRPr="00E54C19">
        <w:rPr>
          <w:rFonts w:ascii="Bookman Old Style" w:eastAsia="Calibri" w:hAnsi="Bookman Old Style" w:cs="Times New Roman"/>
          <w:color w:val="000000" w:themeColor="text1"/>
          <w:sz w:val="24"/>
          <w:szCs w:val="32"/>
        </w:rPr>
        <w:t>el</w:t>
      </w:r>
      <w:r>
        <w:rPr>
          <w:rFonts w:ascii="Bookman Old Style" w:eastAsia="Calibri" w:hAnsi="Bookman Old Style" w:cs="Times New Roman"/>
          <w:color w:val="000000" w:themeColor="text1"/>
          <w:sz w:val="24"/>
          <w:szCs w:val="32"/>
        </w:rPr>
        <w:t xml:space="preserve"> n</w:t>
      </w:r>
      <w:r w:rsidRPr="00E54C19">
        <w:rPr>
          <w:rFonts w:ascii="Bookman Old Style" w:eastAsia="Calibri" w:hAnsi="Bookman Old Style" w:cs="Times New Roman"/>
          <w:color w:val="000000" w:themeColor="text1"/>
          <w:sz w:val="24"/>
          <w:szCs w:val="32"/>
        </w:rPr>
        <w:t>oroeste,</w:t>
      </w:r>
      <w:r>
        <w:rPr>
          <w:rFonts w:ascii="Bookman Old Style" w:eastAsia="Calibri" w:hAnsi="Bookman Old Style" w:cs="Times New Roman"/>
          <w:color w:val="000000" w:themeColor="text1"/>
          <w:sz w:val="24"/>
          <w:szCs w:val="32"/>
        </w:rPr>
        <w:t xml:space="preserve"> </w:t>
      </w:r>
      <w:r w:rsidRPr="00E54C19">
        <w:rPr>
          <w:rFonts w:ascii="Bookman Old Style" w:eastAsia="Calibri" w:hAnsi="Bookman Old Style" w:cs="Times New Roman"/>
          <w:color w:val="000000" w:themeColor="text1"/>
          <w:sz w:val="24"/>
          <w:szCs w:val="32"/>
        </w:rPr>
        <w:t>Cuyo,</w:t>
      </w:r>
      <w:r>
        <w:rPr>
          <w:rFonts w:ascii="Bookman Old Style" w:eastAsia="Calibri" w:hAnsi="Bookman Old Style" w:cs="Times New Roman"/>
          <w:color w:val="000000" w:themeColor="text1"/>
          <w:sz w:val="24"/>
          <w:szCs w:val="32"/>
        </w:rPr>
        <w:t xml:space="preserve"> </w:t>
      </w:r>
      <w:r w:rsidRPr="00E54C19">
        <w:rPr>
          <w:rFonts w:ascii="Bookman Old Style" w:eastAsia="Calibri" w:hAnsi="Bookman Old Style" w:cs="Times New Roman"/>
          <w:color w:val="000000" w:themeColor="text1"/>
          <w:sz w:val="24"/>
          <w:szCs w:val="32"/>
        </w:rPr>
        <w:t>Sierras Pampeanas y Patagonia.</w:t>
      </w:r>
    </w:p>
    <w:p w:rsidR="000C0B2F" w:rsidRPr="00C07F7F" w:rsidRDefault="000C0B2F" w:rsidP="000C0B2F">
      <w:pPr>
        <w:tabs>
          <w:tab w:val="left" w:pos="284"/>
        </w:tabs>
        <w:spacing w:after="120" w:line="360" w:lineRule="auto"/>
        <w:rPr>
          <w:rFonts w:ascii="Bookman Old Style" w:hAnsi="Bookman Old Style" w:cs="Arial"/>
          <w:sz w:val="28"/>
          <w:szCs w:val="24"/>
        </w:rPr>
      </w:pPr>
      <w:r w:rsidRPr="00E54C19">
        <w:rPr>
          <w:rFonts w:ascii="Bookman Old Style" w:eastAsia="Calibri" w:hAnsi="Bookman Old Style" w:cs="Times New Roman"/>
          <w:color w:val="000000" w:themeColor="text1"/>
          <w:sz w:val="24"/>
          <w:szCs w:val="32"/>
        </w:rPr>
        <w:t>Varios factores explican esta distribución y proceso de asentamiento de la población. Ellos son:</w:t>
      </w:r>
    </w:p>
    <w:p w:rsidR="000C0B2F" w:rsidRPr="00E54C19" w:rsidRDefault="000C0B2F" w:rsidP="000C0B2F">
      <w:pPr>
        <w:pStyle w:val="Textoindependiente"/>
        <w:spacing w:line="360" w:lineRule="auto"/>
        <w:ind w:left="0" w:right="383"/>
        <w:jc w:val="both"/>
        <w:rPr>
          <w:rFonts w:ascii="Bookman Old Style" w:eastAsia="Calibri" w:hAnsi="Bookman Old Style" w:cs="Times New Roman"/>
          <w:color w:val="000000" w:themeColor="text1"/>
          <w:sz w:val="24"/>
          <w:szCs w:val="32"/>
          <w:lang w:val="es-AR"/>
        </w:rPr>
      </w:pPr>
      <w:r w:rsidRPr="00C07F7F">
        <w:rPr>
          <w:rFonts w:ascii="Bookman Old Style" w:eastAsia="Calibri" w:hAnsi="Bookman Old Style" w:cs="Times New Roman"/>
          <w:b/>
          <w:color w:val="000000" w:themeColor="text1"/>
          <w:sz w:val="24"/>
          <w:szCs w:val="32"/>
          <w:lang w:val="es-AR"/>
        </w:rPr>
        <w:t>HISTÓRICOS</w:t>
      </w:r>
      <w:r w:rsidRPr="00E54C19">
        <w:rPr>
          <w:rFonts w:ascii="Bookman Old Style" w:eastAsia="Calibri" w:hAnsi="Bookman Old Style" w:cs="Times New Roman"/>
          <w:color w:val="000000" w:themeColor="text1"/>
          <w:sz w:val="24"/>
          <w:szCs w:val="32"/>
          <w:lang w:val="es-AR"/>
        </w:rPr>
        <w:t>: las corrientes colonizadoras fundaron ciudades en</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las que</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se asentó la población. Las actividades productivas que se fueron desarrollando a medida que crecían las ciudades contribuyeron a la construcción de in</w:t>
      </w:r>
      <w:r>
        <w:rPr>
          <w:rFonts w:ascii="Bookman Old Style" w:eastAsia="Calibri" w:hAnsi="Bookman Old Style" w:cs="Times New Roman"/>
          <w:color w:val="000000" w:themeColor="text1"/>
          <w:sz w:val="24"/>
          <w:szCs w:val="32"/>
          <w:lang w:val="es-AR"/>
        </w:rPr>
        <w:t>fraes</w:t>
      </w:r>
      <w:r w:rsidRPr="00E54C19">
        <w:rPr>
          <w:rFonts w:ascii="Bookman Old Style" w:eastAsia="Calibri" w:hAnsi="Bookman Old Style" w:cs="Times New Roman"/>
          <w:color w:val="000000" w:themeColor="text1"/>
          <w:sz w:val="24"/>
          <w:szCs w:val="32"/>
          <w:lang w:val="es-AR"/>
        </w:rPr>
        <w:t>tructura y, finalmente,</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a atraer población de otras zonas.</w:t>
      </w:r>
    </w:p>
    <w:p w:rsidR="000C0B2F" w:rsidRPr="00E54C19" w:rsidRDefault="000C0B2F" w:rsidP="000C0B2F">
      <w:pPr>
        <w:pStyle w:val="Textoindependiente"/>
        <w:spacing w:line="360" w:lineRule="auto"/>
        <w:ind w:left="0" w:right="383"/>
        <w:jc w:val="both"/>
        <w:rPr>
          <w:rFonts w:ascii="Bookman Old Style" w:eastAsia="Calibri" w:hAnsi="Bookman Old Style" w:cs="Times New Roman"/>
          <w:color w:val="000000" w:themeColor="text1"/>
          <w:sz w:val="24"/>
          <w:szCs w:val="32"/>
          <w:lang w:val="es-AR"/>
        </w:rPr>
      </w:pPr>
      <w:r w:rsidRPr="00C07F7F">
        <w:rPr>
          <w:rFonts w:ascii="Bookman Old Style" w:eastAsia="Calibri" w:hAnsi="Bookman Old Style" w:cs="Times New Roman"/>
          <w:b/>
          <w:color w:val="000000" w:themeColor="text1"/>
          <w:sz w:val="24"/>
          <w:szCs w:val="32"/>
          <w:lang w:val="es-AR"/>
        </w:rPr>
        <w:t>POLÍTICOS</w:t>
      </w:r>
      <w:r w:rsidRPr="00E54C19">
        <w:rPr>
          <w:rFonts w:ascii="Bookman Old Style" w:eastAsia="Calibri" w:hAnsi="Bookman Old Style" w:cs="Times New Roman"/>
          <w:color w:val="000000" w:themeColor="text1"/>
          <w:sz w:val="24"/>
          <w:szCs w:val="32"/>
          <w:lang w:val="es-AR"/>
        </w:rPr>
        <w:t>: las áreas donde se concentra el</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poder político (Ciudad Autónoma de Buenos Aires y capitales provinciales) son a su vez generadoras de otras actividades que retienen y atraen población.</w:t>
      </w:r>
    </w:p>
    <w:p w:rsidR="000C0B2F" w:rsidRPr="00E54C19" w:rsidRDefault="000C0B2F" w:rsidP="000C0B2F">
      <w:pPr>
        <w:pStyle w:val="Textoindependiente"/>
        <w:spacing w:line="360" w:lineRule="auto"/>
        <w:ind w:left="0" w:right="383"/>
        <w:jc w:val="both"/>
        <w:rPr>
          <w:rFonts w:ascii="Bookman Old Style" w:eastAsia="Calibri" w:hAnsi="Bookman Old Style" w:cs="Times New Roman"/>
          <w:color w:val="000000" w:themeColor="text1"/>
          <w:sz w:val="24"/>
          <w:szCs w:val="32"/>
          <w:lang w:val="es-AR"/>
        </w:rPr>
      </w:pPr>
      <w:r w:rsidRPr="00C07F7F">
        <w:rPr>
          <w:rFonts w:ascii="Bookman Old Style" w:eastAsia="Calibri" w:hAnsi="Bookman Old Style" w:cs="Times New Roman"/>
          <w:b/>
          <w:color w:val="000000" w:themeColor="text1"/>
          <w:sz w:val="24"/>
          <w:szCs w:val="32"/>
          <w:lang w:val="es-AR"/>
        </w:rPr>
        <w:t>ECONÓMICOS</w:t>
      </w:r>
      <w:r w:rsidRPr="00E54C19">
        <w:rPr>
          <w:rFonts w:ascii="Bookman Old Style" w:eastAsia="Calibri" w:hAnsi="Bookman Old Style" w:cs="Times New Roman"/>
          <w:color w:val="000000" w:themeColor="text1"/>
          <w:sz w:val="24"/>
          <w:szCs w:val="32"/>
          <w:lang w:val="es-AR"/>
        </w:rPr>
        <w:t>: las ciudades donde se desarrolló la actividad industrial se transformaron en grandes centros urbanos. La demanda de mano de obra y la oferta de otros servicios fueron fundamentales para la</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instalación de Ja población en ellas.</w:t>
      </w:r>
    </w:p>
    <w:p w:rsidR="000C0B2F" w:rsidRDefault="000C0B2F" w:rsidP="000C0B2F">
      <w:pPr>
        <w:pStyle w:val="Textoindependiente"/>
        <w:spacing w:before="84" w:line="360" w:lineRule="auto"/>
        <w:ind w:left="0" w:right="383"/>
        <w:jc w:val="both"/>
        <w:rPr>
          <w:rFonts w:ascii="Bookman Old Style" w:eastAsia="Calibri" w:hAnsi="Bookman Old Style" w:cs="Times New Roman"/>
          <w:color w:val="000000" w:themeColor="text1"/>
          <w:sz w:val="24"/>
          <w:szCs w:val="32"/>
          <w:lang w:val="es-AR"/>
        </w:rPr>
      </w:pPr>
      <w:r w:rsidRPr="00C07F7F">
        <w:rPr>
          <w:rFonts w:ascii="Bookman Old Style" w:eastAsia="Calibri" w:hAnsi="Bookman Old Style" w:cs="Times New Roman"/>
          <w:b/>
          <w:color w:val="000000" w:themeColor="text1"/>
          <w:sz w:val="24"/>
          <w:szCs w:val="32"/>
          <w:lang w:val="es-AR"/>
        </w:rPr>
        <w:t>AMBIENTALES</w:t>
      </w:r>
      <w:r w:rsidRPr="00E54C19">
        <w:rPr>
          <w:rFonts w:ascii="Bookman Old Style" w:eastAsia="Calibri" w:hAnsi="Bookman Old Style" w:cs="Times New Roman"/>
          <w:color w:val="000000" w:themeColor="text1"/>
          <w:sz w:val="24"/>
          <w:szCs w:val="32"/>
          <w:lang w:val="es-AR"/>
        </w:rPr>
        <w:t>: en general, los climas templados, los relieves llanos y la disponibilidad de agua o cercanía  a las costas ofrecen mejores condiciones para el asentamiento de la población.</w:t>
      </w:r>
    </w:p>
    <w:p w:rsidR="000C0B2F" w:rsidRPr="00E54C19" w:rsidRDefault="000C0B2F" w:rsidP="000C0B2F">
      <w:pPr>
        <w:pStyle w:val="Textoindependiente"/>
        <w:spacing w:before="84" w:line="360" w:lineRule="auto"/>
        <w:ind w:left="0" w:right="383"/>
        <w:jc w:val="both"/>
        <w:rPr>
          <w:rFonts w:ascii="Bookman Old Style" w:eastAsia="Calibri" w:hAnsi="Bookman Old Style" w:cs="Times New Roman"/>
          <w:color w:val="000000" w:themeColor="text1"/>
          <w:sz w:val="24"/>
          <w:szCs w:val="32"/>
          <w:lang w:val="es-AR"/>
        </w:rPr>
      </w:pPr>
      <w:r w:rsidRPr="00E54C19">
        <w:rPr>
          <w:rFonts w:ascii="Bookman Old Style" w:eastAsia="Calibri" w:hAnsi="Bookman Old Style" w:cs="Times New Roman"/>
          <w:color w:val="000000" w:themeColor="text1"/>
          <w:sz w:val="24"/>
          <w:szCs w:val="32"/>
          <w:lang w:val="es-AR"/>
        </w:rPr>
        <w:t xml:space="preserve">Para analizar la distribución de la población se utiliza el concepto de </w:t>
      </w:r>
      <w:r w:rsidRPr="00C07F7F">
        <w:rPr>
          <w:rFonts w:ascii="Bookman Old Style" w:eastAsia="Calibri" w:hAnsi="Bookman Old Style" w:cs="Times New Roman"/>
          <w:b/>
          <w:color w:val="000000" w:themeColor="text1"/>
          <w:sz w:val="24"/>
          <w:szCs w:val="32"/>
          <w:lang w:val="es-AR"/>
        </w:rPr>
        <w:t>densidad de población</w:t>
      </w:r>
      <w:r w:rsidRPr="00E54C19">
        <w:rPr>
          <w:rFonts w:ascii="Bookman Old Style" w:eastAsia="Calibri" w:hAnsi="Bookman Old Style" w:cs="Times New Roman"/>
          <w:color w:val="000000" w:themeColor="text1"/>
          <w:sz w:val="24"/>
          <w:szCs w:val="32"/>
          <w:lang w:val="es-AR"/>
        </w:rPr>
        <w:t>, que es la rel</w:t>
      </w:r>
      <w:r>
        <w:rPr>
          <w:rFonts w:ascii="Bookman Old Style" w:eastAsia="Calibri" w:hAnsi="Bookman Old Style" w:cs="Times New Roman"/>
          <w:color w:val="000000" w:themeColor="text1"/>
          <w:sz w:val="24"/>
          <w:szCs w:val="32"/>
          <w:lang w:val="es-AR"/>
        </w:rPr>
        <w:t>a</w:t>
      </w:r>
      <w:r w:rsidRPr="00E54C19">
        <w:rPr>
          <w:rFonts w:ascii="Bookman Old Style" w:eastAsia="Calibri" w:hAnsi="Bookman Old Style" w:cs="Times New Roman"/>
          <w:color w:val="000000" w:themeColor="text1"/>
          <w:sz w:val="24"/>
          <w:szCs w:val="32"/>
          <w:lang w:val="es-AR"/>
        </w:rPr>
        <w:t>ción entre cantidad de habitantes y el</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área que ocupan, medida en km</w:t>
      </w:r>
      <w:r w:rsidRPr="00C07F7F">
        <w:rPr>
          <w:rFonts w:ascii="Bookman Old Style" w:eastAsia="Calibri" w:hAnsi="Bookman Old Style" w:cs="Times New Roman"/>
          <w:color w:val="000000" w:themeColor="text1"/>
          <w:sz w:val="24"/>
          <w:szCs w:val="32"/>
          <w:vertAlign w:val="superscript"/>
          <w:lang w:val="es-AR"/>
        </w:rPr>
        <w:t>2</w:t>
      </w:r>
      <w:r>
        <w:rPr>
          <w:rFonts w:ascii="Bookman Old Style" w:eastAsia="Calibri" w:hAnsi="Bookman Old Style" w:cs="Times New Roman"/>
          <w:color w:val="000000" w:themeColor="text1"/>
          <w:sz w:val="24"/>
          <w:szCs w:val="32"/>
          <w:lang w:val="es-AR"/>
        </w:rPr>
        <w:t>.</w:t>
      </w:r>
      <w:r w:rsidRPr="00E54C19">
        <w:rPr>
          <w:rFonts w:ascii="Bookman Old Style" w:eastAsia="Calibri" w:hAnsi="Bookman Old Style" w:cs="Times New Roman"/>
          <w:color w:val="000000" w:themeColor="text1"/>
          <w:sz w:val="24"/>
          <w:szCs w:val="32"/>
          <w:lang w:val="es-AR"/>
        </w:rPr>
        <w:t>Según el último censo nacional,</w:t>
      </w:r>
      <w:r>
        <w:rPr>
          <w:rFonts w:ascii="Bookman Old Style" w:eastAsia="Calibri" w:hAnsi="Bookman Old Style" w:cs="Times New Roman"/>
          <w:color w:val="000000" w:themeColor="text1"/>
          <w:sz w:val="24"/>
          <w:szCs w:val="32"/>
          <w:lang w:val="es-AR"/>
        </w:rPr>
        <w:t xml:space="preserve"> </w:t>
      </w:r>
      <w:r w:rsidRPr="00E54C19">
        <w:rPr>
          <w:rFonts w:ascii="Bookman Old Style" w:eastAsia="Calibri" w:hAnsi="Bookman Old Style" w:cs="Times New Roman"/>
          <w:color w:val="000000" w:themeColor="text1"/>
          <w:sz w:val="24"/>
          <w:szCs w:val="32"/>
          <w:lang w:val="es-AR"/>
        </w:rPr>
        <w:t>la de</w:t>
      </w:r>
      <w:r>
        <w:rPr>
          <w:rFonts w:ascii="Bookman Old Style" w:eastAsia="Calibri" w:hAnsi="Bookman Old Style" w:cs="Times New Roman"/>
          <w:color w:val="000000" w:themeColor="text1"/>
          <w:sz w:val="24"/>
          <w:szCs w:val="32"/>
          <w:lang w:val="es-AR"/>
        </w:rPr>
        <w:t>n</w:t>
      </w:r>
      <w:r w:rsidRPr="00E54C19">
        <w:rPr>
          <w:rFonts w:ascii="Bookman Old Style" w:eastAsia="Calibri" w:hAnsi="Bookman Old Style" w:cs="Times New Roman"/>
          <w:color w:val="000000" w:themeColor="text1"/>
          <w:sz w:val="24"/>
          <w:szCs w:val="32"/>
          <w:lang w:val="es-AR"/>
        </w:rPr>
        <w:t xml:space="preserve">sidad de población en la Argentina es de 13 habitantes por kilómetro cuadrado. Teniendo en cuenta que en la actualidad la población del país es de aproximada­ mente 40.000.000 de personas en una superficie de 2.781.810 km2, la densidad de </w:t>
      </w:r>
      <w:r w:rsidRPr="00E54C19">
        <w:rPr>
          <w:rFonts w:ascii="Bookman Old Style" w:eastAsia="Calibri" w:hAnsi="Bookman Old Style" w:cs="Times New Roman"/>
          <w:color w:val="000000" w:themeColor="text1"/>
          <w:sz w:val="24"/>
          <w:szCs w:val="32"/>
          <w:lang w:val="es-AR"/>
        </w:rPr>
        <w:lastRenderedPageBreak/>
        <w:t xml:space="preserve">población de la Argentina es de 14,3 </w:t>
      </w:r>
      <w:proofErr w:type="spellStart"/>
      <w:r w:rsidRPr="00E54C19">
        <w:rPr>
          <w:rFonts w:ascii="Bookman Old Style" w:eastAsia="Calibri" w:hAnsi="Bookman Old Style" w:cs="Times New Roman"/>
          <w:color w:val="000000" w:themeColor="text1"/>
          <w:sz w:val="24"/>
          <w:szCs w:val="32"/>
          <w:lang w:val="es-AR"/>
        </w:rPr>
        <w:t>hab</w:t>
      </w:r>
      <w:proofErr w:type="spellEnd"/>
      <w:r w:rsidRPr="00E54C19">
        <w:rPr>
          <w:rFonts w:ascii="Bookman Old Style" w:eastAsia="Calibri" w:hAnsi="Bookman Old Style" w:cs="Times New Roman"/>
          <w:color w:val="000000" w:themeColor="text1"/>
          <w:sz w:val="24"/>
          <w:szCs w:val="32"/>
          <w:lang w:val="es-AR"/>
        </w:rPr>
        <w:t>/km</w:t>
      </w:r>
      <w:r w:rsidRPr="007E4590">
        <w:rPr>
          <w:rFonts w:ascii="Bookman Old Style" w:eastAsia="Calibri" w:hAnsi="Bookman Old Style" w:cs="Times New Roman"/>
          <w:color w:val="000000" w:themeColor="text1"/>
          <w:sz w:val="24"/>
          <w:szCs w:val="32"/>
          <w:vertAlign w:val="superscript"/>
          <w:lang w:val="es-AR"/>
        </w:rPr>
        <w:t>2</w:t>
      </w:r>
      <w:r>
        <w:rPr>
          <w:rFonts w:ascii="Bookman Old Style" w:eastAsia="Calibri" w:hAnsi="Bookman Old Style" w:cs="Times New Roman"/>
          <w:color w:val="000000" w:themeColor="text1"/>
          <w:sz w:val="24"/>
          <w:szCs w:val="32"/>
          <w:vertAlign w:val="superscript"/>
          <w:lang w:val="es-AR"/>
        </w:rPr>
        <w:t>.</w:t>
      </w:r>
    </w:p>
    <w:p w:rsidR="000C0B2F" w:rsidRDefault="000C0B2F" w:rsidP="000C0B2F">
      <w:pPr>
        <w:spacing w:after="160" w:line="259" w:lineRule="auto"/>
        <w:jc w:val="center"/>
        <w:rPr>
          <w:rFonts w:ascii="Bookman Old Style" w:hAnsi="Bookman Old Style" w:cs="Arial"/>
          <w:sz w:val="28"/>
          <w:szCs w:val="24"/>
        </w:rPr>
      </w:pPr>
    </w:p>
    <w:p w:rsidR="000C0B2F" w:rsidRDefault="000C0B2F" w:rsidP="000C0B2F">
      <w:pPr>
        <w:spacing w:after="160" w:line="259" w:lineRule="auto"/>
        <w:jc w:val="center"/>
        <w:rPr>
          <w:rFonts w:ascii="Bookman Old Style" w:hAnsi="Bookman Old Style" w:cs="Arial"/>
          <w:sz w:val="24"/>
          <w:szCs w:val="24"/>
        </w:rPr>
      </w:pPr>
      <w:r>
        <w:rPr>
          <w:rFonts w:ascii="Bookman Old Style" w:hAnsi="Bookman Old Style" w:cs="Arial"/>
          <w:sz w:val="24"/>
          <w:szCs w:val="24"/>
        </w:rPr>
        <w:t>ACTIVIDADES</w:t>
      </w:r>
    </w:p>
    <w:p w:rsidR="000C0B2F" w:rsidRDefault="000C0B2F" w:rsidP="000C0B2F">
      <w:pPr>
        <w:spacing w:after="160" w:line="259" w:lineRule="auto"/>
        <w:jc w:val="both"/>
        <w:rPr>
          <w:rFonts w:ascii="Bookman Old Style" w:hAnsi="Bookman Old Style" w:cs="Arial"/>
          <w:sz w:val="24"/>
          <w:szCs w:val="24"/>
        </w:rPr>
      </w:pPr>
      <w:r>
        <w:rPr>
          <w:rFonts w:ascii="Bookman Old Style" w:hAnsi="Bookman Old Style" w:cs="Arial"/>
          <w:sz w:val="24"/>
          <w:szCs w:val="24"/>
        </w:rPr>
        <w:t>1-¿Cómo está distribuida la población Argentina?</w:t>
      </w:r>
    </w:p>
    <w:p w:rsidR="000C0B2F" w:rsidRDefault="000C0B2F" w:rsidP="000C0B2F">
      <w:pPr>
        <w:spacing w:after="160" w:line="259" w:lineRule="auto"/>
        <w:jc w:val="both"/>
        <w:rPr>
          <w:rFonts w:ascii="Bookman Old Style" w:hAnsi="Bookman Old Style" w:cs="Arial"/>
          <w:sz w:val="28"/>
          <w:szCs w:val="24"/>
        </w:rPr>
      </w:pPr>
      <w:r>
        <w:rPr>
          <w:rFonts w:ascii="Bookman Old Style" w:hAnsi="Bookman Old Style" w:cs="Arial"/>
          <w:sz w:val="28"/>
          <w:szCs w:val="24"/>
        </w:rPr>
        <w:t>2- Explique las causas que han influido en dicha distribución</w:t>
      </w:r>
    </w:p>
    <w:p w:rsidR="000C0B2F" w:rsidRDefault="000C0B2F" w:rsidP="000C0B2F">
      <w:pPr>
        <w:spacing w:after="160" w:line="259" w:lineRule="auto"/>
        <w:jc w:val="both"/>
        <w:rPr>
          <w:rFonts w:ascii="Bookman Old Style" w:hAnsi="Bookman Old Style" w:cs="Arial"/>
          <w:sz w:val="28"/>
          <w:szCs w:val="24"/>
        </w:rPr>
      </w:pPr>
      <w:r>
        <w:rPr>
          <w:rFonts w:ascii="Bookman Old Style" w:hAnsi="Bookman Old Style" w:cs="Arial"/>
          <w:sz w:val="28"/>
          <w:szCs w:val="24"/>
        </w:rPr>
        <w:t>3- Analice los mapas con la distribución y densidad de la población argentina y obtenga conclusiones.</w:t>
      </w:r>
    </w:p>
    <w:p w:rsidR="000C0B2F" w:rsidRDefault="000C0B2F" w:rsidP="000C0B2F">
      <w:pPr>
        <w:spacing w:after="160" w:line="259" w:lineRule="auto"/>
        <w:jc w:val="both"/>
        <w:rPr>
          <w:rFonts w:ascii="Bookman Old Style" w:hAnsi="Bookman Old Style" w:cs="Arial"/>
          <w:sz w:val="28"/>
          <w:szCs w:val="24"/>
        </w:rPr>
      </w:pPr>
      <w:r>
        <w:rPr>
          <w:rFonts w:ascii="Bookman Old Style" w:hAnsi="Bookman Old Style" w:cs="Arial"/>
          <w:sz w:val="28"/>
          <w:szCs w:val="24"/>
        </w:rPr>
        <w:br w:type="page"/>
      </w:r>
    </w:p>
    <w:p w:rsidR="000C0B2F" w:rsidRDefault="000C0B2F" w:rsidP="000C0B2F">
      <w:pPr>
        <w:spacing w:after="160" w:line="259" w:lineRule="auto"/>
        <w:jc w:val="both"/>
        <w:rPr>
          <w:rFonts w:ascii="Bookman Old Style" w:hAnsi="Bookman Old Style" w:cs="Arial"/>
          <w:sz w:val="28"/>
          <w:szCs w:val="24"/>
        </w:rPr>
      </w:pPr>
      <w:r>
        <w:rPr>
          <w:rFonts w:ascii="Bookman Old Style" w:hAnsi="Bookman Old Style" w:cs="Arial"/>
          <w:noProof/>
          <w:sz w:val="28"/>
          <w:szCs w:val="24"/>
          <w:lang w:eastAsia="es-AR"/>
        </w:rPr>
        <w:drawing>
          <wp:anchor distT="0" distB="0" distL="114300" distR="114300" simplePos="0" relativeHeight="251660288" behindDoc="1" locked="0" layoutInCell="1" allowOverlap="1" wp14:anchorId="01AD4193" wp14:editId="6EB95447">
            <wp:simplePos x="0" y="0"/>
            <wp:positionH relativeFrom="column">
              <wp:posOffset>-4445</wp:posOffset>
            </wp:positionH>
            <wp:positionV relativeFrom="paragraph">
              <wp:posOffset>33655</wp:posOffset>
            </wp:positionV>
            <wp:extent cx="5405120" cy="8429625"/>
            <wp:effectExtent l="0" t="0" r="5080" b="9525"/>
            <wp:wrapTight wrapText="bothSides">
              <wp:wrapPolygon edited="0">
                <wp:start x="0" y="0"/>
                <wp:lineTo x="0" y="21576"/>
                <wp:lineTo x="21544" y="21576"/>
                <wp:lineTo x="215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5120" cy="8429625"/>
                    </a:xfrm>
                    <a:prstGeom prst="rect">
                      <a:avLst/>
                    </a:prstGeom>
                    <a:noFill/>
                    <a:ln>
                      <a:noFill/>
                    </a:ln>
                  </pic:spPr>
                </pic:pic>
              </a:graphicData>
            </a:graphic>
            <wp14:sizeRelH relativeFrom="margin">
              <wp14:pctWidth>0</wp14:pctWidth>
            </wp14:sizeRelH>
          </wp:anchor>
        </w:drawing>
      </w:r>
    </w:p>
    <w:p w:rsidR="000C0B2F" w:rsidRDefault="000C0B2F" w:rsidP="000C0B2F">
      <w:pPr>
        <w:spacing w:after="160" w:line="259" w:lineRule="auto"/>
        <w:jc w:val="both"/>
        <w:rPr>
          <w:rFonts w:ascii="Bookman Old Style" w:hAnsi="Bookman Old Style" w:cs="Arial"/>
          <w:sz w:val="28"/>
          <w:szCs w:val="24"/>
        </w:rPr>
      </w:pPr>
    </w:p>
    <w:p w:rsidR="000C0B2F" w:rsidRDefault="000C0B2F" w:rsidP="000C0B2F">
      <w:pPr>
        <w:spacing w:after="160" w:line="259" w:lineRule="auto"/>
        <w:rPr>
          <w:rFonts w:ascii="Bookman Old Style" w:hAnsi="Bookman Old Style" w:cs="Arial"/>
          <w:sz w:val="28"/>
          <w:szCs w:val="24"/>
        </w:rPr>
      </w:pPr>
      <w:r>
        <w:rPr>
          <w:noProof/>
          <w:lang w:eastAsia="es-AR"/>
        </w:rPr>
        <w:drawing>
          <wp:anchor distT="0" distB="0" distL="114300" distR="114300" simplePos="0" relativeHeight="251659264" behindDoc="1" locked="0" layoutInCell="1" allowOverlap="1" wp14:anchorId="56E32A9E" wp14:editId="63E6E5DC">
            <wp:simplePos x="0" y="0"/>
            <wp:positionH relativeFrom="margin">
              <wp:posOffset>-156322</wp:posOffset>
            </wp:positionH>
            <wp:positionV relativeFrom="paragraph">
              <wp:posOffset>0</wp:posOffset>
            </wp:positionV>
            <wp:extent cx="5760720" cy="8924290"/>
            <wp:effectExtent l="0" t="0" r="0" b="0"/>
            <wp:wrapTight wrapText="bothSides">
              <wp:wrapPolygon edited="0">
                <wp:start x="0" y="0"/>
                <wp:lineTo x="0" y="21532"/>
                <wp:lineTo x="21500" y="21532"/>
                <wp:lineTo x="21500" y="0"/>
                <wp:lineTo x="0" y="0"/>
              </wp:wrapPolygon>
            </wp:wrapTight>
            <wp:docPr id="166" name="Picture 166" descr="https://surdelsur.com/es/wp-content/uploads/sites/2/2015/04/mapa-argentina-demograf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https://surdelsur.com/es/wp-content/uploads/sites/2/2015/04/mapa-argentina-demografic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60720" cy="8924290"/>
                    </a:xfrm>
                    <a:prstGeom prst="rect">
                      <a:avLst/>
                    </a:prstGeom>
                    <a:noFill/>
                    <a:ln>
                      <a:noFill/>
                    </a:ln>
                  </pic:spPr>
                </pic:pic>
              </a:graphicData>
            </a:graphic>
          </wp:anchor>
        </w:drawing>
      </w:r>
    </w:p>
    <w:p w:rsidR="000C0B2F" w:rsidRDefault="000C0B2F" w:rsidP="000C0B2F">
      <w:pPr>
        <w:tabs>
          <w:tab w:val="left" w:pos="284"/>
        </w:tabs>
        <w:spacing w:after="120"/>
        <w:jc w:val="center"/>
        <w:rPr>
          <w:rFonts w:ascii="Bookman Old Style" w:hAnsi="Bookman Old Style" w:cs="Arial"/>
          <w:sz w:val="28"/>
          <w:szCs w:val="24"/>
          <w:u w:val="single"/>
        </w:rPr>
      </w:pPr>
      <w:r w:rsidRPr="009414F5">
        <w:rPr>
          <w:rFonts w:ascii="Bookman Old Style" w:hAnsi="Bookman Old Style" w:cs="Arial"/>
          <w:sz w:val="28"/>
          <w:szCs w:val="24"/>
          <w:u w:val="single"/>
        </w:rPr>
        <w:t>POBREZA: INDICADORES DE POBREZA</w:t>
      </w:r>
    </w:p>
    <w:p w:rsidR="000C0B2F" w:rsidRPr="009414F5" w:rsidRDefault="000C0B2F" w:rsidP="000C0B2F">
      <w:pPr>
        <w:tabs>
          <w:tab w:val="left" w:pos="284"/>
        </w:tabs>
        <w:spacing w:after="120"/>
        <w:jc w:val="center"/>
        <w:rPr>
          <w:rFonts w:ascii="Bookman Old Style" w:hAnsi="Bookman Old Style" w:cs="Arial"/>
          <w:sz w:val="28"/>
          <w:szCs w:val="24"/>
          <w:u w:val="single"/>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404EB9">
        <w:rPr>
          <w:rFonts w:ascii="Bookman Old Style" w:eastAsia="Calibri" w:hAnsi="Bookman Old Style" w:cs="Times New Roman"/>
          <w:color w:val="000000" w:themeColor="text1"/>
          <w:sz w:val="24"/>
          <w:szCs w:val="32"/>
        </w:rPr>
        <w:t xml:space="preserve">Dado que las condiciones de vida </w:t>
      </w:r>
      <w:r>
        <w:rPr>
          <w:rFonts w:ascii="Bookman Old Style" w:eastAsia="Calibri" w:hAnsi="Bookman Old Style" w:cs="Times New Roman"/>
          <w:color w:val="000000" w:themeColor="text1"/>
          <w:sz w:val="24"/>
          <w:szCs w:val="32"/>
        </w:rPr>
        <w:t>de</w:t>
      </w:r>
      <w:r w:rsidRPr="00404EB9">
        <w:rPr>
          <w:rFonts w:ascii="Bookman Old Style" w:eastAsia="Calibri" w:hAnsi="Bookman Old Style" w:cs="Times New Roman"/>
          <w:color w:val="000000" w:themeColor="text1"/>
          <w:sz w:val="24"/>
          <w:szCs w:val="32"/>
        </w:rPr>
        <w:t>penden de múltiples factores, no es posible sintetizarlos a todos</w:t>
      </w:r>
      <w:r>
        <w:rPr>
          <w:rFonts w:ascii="Bookman Old Style" w:eastAsia="Calibri" w:hAnsi="Bookman Old Style" w:cs="Times New Roman"/>
          <w:color w:val="000000" w:themeColor="text1"/>
          <w:sz w:val="24"/>
          <w:szCs w:val="32"/>
        </w:rPr>
        <w:t>, este motivo existen varios indicadores para medir la pobreza.</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Pr>
          <w:rFonts w:ascii="Bookman Old Style" w:eastAsia="Calibri" w:hAnsi="Bookman Old Style" w:cs="Times New Roman"/>
          <w:color w:val="000000" w:themeColor="text1"/>
          <w:sz w:val="24"/>
          <w:szCs w:val="32"/>
        </w:rPr>
        <w:t xml:space="preserve">Una de las formas más utilizadas a nivel mundial es la </w:t>
      </w:r>
      <w:r w:rsidRPr="007B1E00">
        <w:rPr>
          <w:rFonts w:ascii="Bookman Old Style" w:eastAsia="Calibri" w:hAnsi="Bookman Old Style" w:cs="Times New Roman"/>
          <w:color w:val="000000" w:themeColor="text1"/>
          <w:sz w:val="24"/>
          <w:szCs w:val="32"/>
        </w:rPr>
        <w:t xml:space="preserve">utilizado por el </w:t>
      </w:r>
      <w:r w:rsidRPr="007B1E00">
        <w:rPr>
          <w:rFonts w:ascii="Bookman Old Style" w:eastAsia="Calibri" w:hAnsi="Bookman Old Style" w:cs="Times New Roman"/>
          <w:b/>
          <w:color w:val="000000" w:themeColor="text1"/>
          <w:sz w:val="24"/>
          <w:szCs w:val="32"/>
        </w:rPr>
        <w:t>Banco Interamericano de Desarrollo</w:t>
      </w:r>
      <w:r w:rsidRPr="007B1E00">
        <w:rPr>
          <w:rFonts w:ascii="Bookman Old Style" w:eastAsia="Calibri" w:hAnsi="Bookman Old Style" w:cs="Times New Roman"/>
          <w:color w:val="000000" w:themeColor="text1"/>
          <w:sz w:val="24"/>
          <w:szCs w:val="32"/>
        </w:rPr>
        <w:t xml:space="preserve">, que considera como pobres a aquellas familias cuyo ingreso promedio por integrante del hogar es </w:t>
      </w:r>
      <w:r w:rsidRPr="007B1E00">
        <w:rPr>
          <w:rFonts w:ascii="Bookman Old Style" w:eastAsia="Calibri" w:hAnsi="Bookman Old Style" w:cs="Times New Roman"/>
          <w:b/>
          <w:color w:val="000000" w:themeColor="text1"/>
          <w:sz w:val="24"/>
          <w:szCs w:val="32"/>
        </w:rPr>
        <w:t>menor de 2 dólares</w:t>
      </w:r>
      <w:r>
        <w:rPr>
          <w:rFonts w:ascii="Bookman Old Style" w:eastAsia="Calibri" w:hAnsi="Bookman Old Style" w:cs="Times New Roman"/>
          <w:color w:val="000000" w:themeColor="text1"/>
          <w:sz w:val="24"/>
          <w:szCs w:val="32"/>
        </w:rPr>
        <w:t>.</w:t>
      </w:r>
    </w:p>
    <w:p w:rsidR="000C0B2F" w:rsidRDefault="000C0B2F" w:rsidP="000C0B2F">
      <w:pPr>
        <w:pStyle w:val="NormalWeb"/>
        <w:shd w:val="clear" w:color="auto" w:fill="FFFFFF"/>
        <w:spacing w:before="0" w:beforeAutospacing="0" w:after="0" w:afterAutospacing="0" w:line="360" w:lineRule="auto"/>
        <w:jc w:val="both"/>
        <w:rPr>
          <w:rFonts w:ascii="Bookman Old Style" w:eastAsia="Calibri" w:hAnsi="Bookman Old Style"/>
          <w:color w:val="000000" w:themeColor="text1"/>
          <w:szCs w:val="32"/>
          <w:lang w:eastAsia="en-US"/>
        </w:rPr>
      </w:pPr>
      <w:r>
        <w:rPr>
          <w:rFonts w:ascii="Bookman Old Style" w:eastAsia="Calibri" w:hAnsi="Bookman Old Style"/>
          <w:color w:val="000000" w:themeColor="text1"/>
          <w:szCs w:val="32"/>
          <w:lang w:eastAsia="en-US"/>
        </w:rPr>
        <w:t xml:space="preserve">Otro indicador es el Índice de Desarrollo Humano (IDH) </w:t>
      </w:r>
      <w:r w:rsidRPr="007B1E00">
        <w:rPr>
          <w:rFonts w:ascii="Bookman Old Style" w:eastAsia="Calibri" w:hAnsi="Bookman Old Style"/>
          <w:color w:val="000000" w:themeColor="text1"/>
          <w:szCs w:val="32"/>
          <w:lang w:eastAsia="en-US"/>
        </w:rPr>
        <w:t xml:space="preserve">es un indicador creado por el Programa de las Naciones Unidas para el Desarrollo (PNUD) con el fin de determinar el nivel de desarrollo que tienen los países del mundo.  Fue ideado con el objetivo de conocer, no sólo los ingresos económicos de las personas en un país, sino también para evaluar si el país aporta a sus ciudadanos un ambiente donde puedan desarrollar mejor o peor su proyecto y condiciones de vida.  Para esto, el </w:t>
      </w:r>
      <w:r w:rsidRPr="006E296B">
        <w:rPr>
          <w:rFonts w:ascii="Bookman Old Style" w:eastAsia="Calibri" w:hAnsi="Bookman Old Style"/>
          <w:b/>
          <w:color w:val="000000" w:themeColor="text1"/>
          <w:szCs w:val="32"/>
          <w:lang w:eastAsia="en-US"/>
        </w:rPr>
        <w:t>IDH</w:t>
      </w:r>
      <w:r w:rsidRPr="007B1E00">
        <w:rPr>
          <w:rFonts w:ascii="Bookman Old Style" w:eastAsia="Calibri" w:hAnsi="Bookman Old Style"/>
          <w:color w:val="000000" w:themeColor="text1"/>
          <w:szCs w:val="32"/>
          <w:lang w:eastAsia="en-US"/>
        </w:rPr>
        <w:t xml:space="preserve"> tiene en cuenta tres variables:</w:t>
      </w:r>
    </w:p>
    <w:p w:rsidR="000C0B2F" w:rsidRPr="007B1E00" w:rsidRDefault="000C0B2F" w:rsidP="000C0B2F">
      <w:pPr>
        <w:pStyle w:val="NormalWeb"/>
        <w:shd w:val="clear" w:color="auto" w:fill="FFFFFF"/>
        <w:spacing w:before="0" w:beforeAutospacing="0" w:after="0" w:afterAutospacing="0" w:line="360" w:lineRule="auto"/>
        <w:jc w:val="both"/>
        <w:rPr>
          <w:rFonts w:ascii="Bookman Old Style" w:eastAsia="Calibri" w:hAnsi="Bookman Old Style"/>
          <w:color w:val="000000" w:themeColor="text1"/>
          <w:szCs w:val="32"/>
          <w:lang w:eastAsia="en-US"/>
        </w:rPr>
      </w:pPr>
      <w:r w:rsidRPr="007B1E00">
        <w:rPr>
          <w:rFonts w:ascii="Bookman Old Style" w:eastAsia="Calibri" w:hAnsi="Bookman Old Style"/>
          <w:color w:val="000000" w:themeColor="text1"/>
          <w:szCs w:val="32"/>
          <w:lang w:eastAsia="en-US"/>
        </w:rPr>
        <w:t xml:space="preserve">1) </w:t>
      </w:r>
      <w:r w:rsidRPr="007B1E00">
        <w:rPr>
          <w:rFonts w:ascii="Bookman Old Style" w:eastAsia="Calibri" w:hAnsi="Bookman Old Style"/>
          <w:i/>
          <w:color w:val="000000" w:themeColor="text1"/>
          <w:szCs w:val="32"/>
          <w:u w:val="single"/>
          <w:lang w:eastAsia="en-US"/>
        </w:rPr>
        <w:t>Esperanza de vida al nacer</w:t>
      </w:r>
      <w:r w:rsidRPr="007B1E00">
        <w:rPr>
          <w:rFonts w:ascii="Bookman Old Style" w:eastAsia="Calibri" w:hAnsi="Bookman Old Style"/>
          <w:color w:val="000000" w:themeColor="text1"/>
          <w:szCs w:val="32"/>
          <w:lang w:eastAsia="en-US"/>
        </w:rPr>
        <w:t>. Analiza el promedio de edad de las personas fallecidas en un año.</w:t>
      </w:r>
    </w:p>
    <w:p w:rsidR="000C0B2F" w:rsidRPr="007B1E00" w:rsidRDefault="000C0B2F" w:rsidP="000C0B2F">
      <w:pPr>
        <w:shd w:val="clear" w:color="auto" w:fill="FFFFFF"/>
        <w:spacing w:after="0" w:line="360" w:lineRule="auto"/>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 xml:space="preserve">2) </w:t>
      </w:r>
      <w:r w:rsidRPr="007B1E00">
        <w:rPr>
          <w:rFonts w:ascii="Bookman Old Style" w:eastAsia="Calibri" w:hAnsi="Bookman Old Style" w:cs="Times New Roman"/>
          <w:i/>
          <w:color w:val="000000" w:themeColor="text1"/>
          <w:sz w:val="24"/>
          <w:szCs w:val="32"/>
          <w:u w:val="single"/>
        </w:rPr>
        <w:t>Educación</w:t>
      </w:r>
      <w:r w:rsidRPr="007B1E00">
        <w:rPr>
          <w:rFonts w:ascii="Bookman Old Style" w:eastAsia="Calibri" w:hAnsi="Bookman Old Style" w:cs="Times New Roman"/>
          <w:color w:val="000000" w:themeColor="text1"/>
          <w:sz w:val="24"/>
          <w:szCs w:val="32"/>
        </w:rPr>
        <w:t>. Recoge el nivel de alfabetización adulta y el nivel de estudios alcanzado (primaria, secundaria, estudios superiores)</w:t>
      </w:r>
    </w:p>
    <w:p w:rsidR="000C0B2F" w:rsidRPr="007B1E00" w:rsidRDefault="000C0B2F" w:rsidP="000C0B2F">
      <w:pPr>
        <w:shd w:val="clear" w:color="auto" w:fill="FFFFFF"/>
        <w:spacing w:after="0" w:line="360" w:lineRule="auto"/>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 xml:space="preserve">3) </w:t>
      </w:r>
      <w:r w:rsidRPr="007B1E00">
        <w:rPr>
          <w:rFonts w:ascii="Bookman Old Style" w:eastAsia="Calibri" w:hAnsi="Bookman Old Style" w:cs="Times New Roman"/>
          <w:i/>
          <w:color w:val="000000" w:themeColor="text1"/>
          <w:sz w:val="24"/>
          <w:szCs w:val="32"/>
          <w:u w:val="single"/>
        </w:rPr>
        <w:t>PIB per Cápita</w:t>
      </w:r>
      <w:r w:rsidRPr="007B1E00">
        <w:rPr>
          <w:rFonts w:ascii="Bookman Old Style" w:eastAsia="Calibri" w:hAnsi="Bookman Old Style" w:cs="Times New Roman"/>
          <w:color w:val="000000" w:themeColor="text1"/>
          <w:sz w:val="24"/>
          <w:szCs w:val="32"/>
        </w:rPr>
        <w:t xml:space="preserve"> (a paridad de poder adquisitivo). Considera el producto interno bruto per cápita y evalúa el acceso a los recursos económicos necesarios para que las personas puedan tener un nivel de vida decente.</w:t>
      </w:r>
    </w:p>
    <w:p w:rsidR="000C0B2F" w:rsidRPr="007B1E00" w:rsidRDefault="000C0B2F" w:rsidP="000C0B2F">
      <w:pPr>
        <w:shd w:val="clear" w:color="auto" w:fill="FFFFFF"/>
        <w:spacing w:after="0" w:line="360" w:lineRule="auto"/>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El índice IDH aporta valores entre 0 y 1,  siendo 0 la calificación más baja y 1 la más alta. En este sentido, la PNUD clasifica a los países en tres grandes grupos:</w:t>
      </w:r>
    </w:p>
    <w:p w:rsidR="000C0B2F" w:rsidRPr="007B1E00" w:rsidRDefault="000C0B2F" w:rsidP="000C0B2F">
      <w:pPr>
        <w:numPr>
          <w:ilvl w:val="0"/>
          <w:numId w:val="2"/>
        </w:numPr>
        <w:shd w:val="clear" w:color="auto" w:fill="FFFFFF"/>
        <w:tabs>
          <w:tab w:val="clear" w:pos="720"/>
          <w:tab w:val="num" w:pos="284"/>
        </w:tabs>
        <w:spacing w:after="0" w:line="360" w:lineRule="auto"/>
        <w:ind w:left="0" w:firstLine="0"/>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Países con Alto desarrollo H</w:t>
      </w:r>
      <w:r>
        <w:rPr>
          <w:rFonts w:ascii="Bookman Old Style" w:eastAsia="Calibri" w:hAnsi="Bookman Old Style" w:cs="Times New Roman"/>
          <w:color w:val="000000" w:themeColor="text1"/>
          <w:sz w:val="24"/>
          <w:szCs w:val="32"/>
        </w:rPr>
        <w:t>umano</w:t>
      </w:r>
      <w:r w:rsidRPr="007B1E00">
        <w:rPr>
          <w:rFonts w:ascii="Bookman Old Style" w:eastAsia="Calibri" w:hAnsi="Bookman Old Style" w:cs="Times New Roman"/>
          <w:color w:val="000000" w:themeColor="text1"/>
          <w:sz w:val="24"/>
          <w:szCs w:val="32"/>
        </w:rPr>
        <w:t>.  Tienen un IDH mayor de 0,80.</w:t>
      </w:r>
    </w:p>
    <w:p w:rsidR="000C0B2F" w:rsidRPr="007B1E00" w:rsidRDefault="000C0B2F" w:rsidP="000C0B2F">
      <w:pPr>
        <w:numPr>
          <w:ilvl w:val="0"/>
          <w:numId w:val="2"/>
        </w:numPr>
        <w:shd w:val="clear" w:color="auto" w:fill="FFFFFF"/>
        <w:tabs>
          <w:tab w:val="clear" w:pos="720"/>
          <w:tab w:val="num" w:pos="284"/>
        </w:tabs>
        <w:spacing w:after="0" w:line="360" w:lineRule="auto"/>
        <w:ind w:left="0" w:firstLine="0"/>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Países con Medio desarrollo Hum</w:t>
      </w:r>
      <w:r>
        <w:rPr>
          <w:rFonts w:ascii="Bookman Old Style" w:eastAsia="Calibri" w:hAnsi="Bookman Old Style" w:cs="Times New Roman"/>
          <w:color w:val="000000" w:themeColor="text1"/>
          <w:sz w:val="24"/>
          <w:szCs w:val="32"/>
        </w:rPr>
        <w:t>ano</w:t>
      </w:r>
      <w:r w:rsidRPr="007B1E00">
        <w:rPr>
          <w:rFonts w:ascii="Bookman Old Style" w:eastAsia="Calibri" w:hAnsi="Bookman Old Style" w:cs="Times New Roman"/>
          <w:color w:val="000000" w:themeColor="text1"/>
          <w:sz w:val="24"/>
          <w:szCs w:val="32"/>
        </w:rPr>
        <w:t>. Tienen un IDH entre 0,50 y 0,80.</w:t>
      </w:r>
    </w:p>
    <w:p w:rsidR="000C0B2F" w:rsidRDefault="000C0B2F" w:rsidP="000C0B2F">
      <w:pPr>
        <w:numPr>
          <w:ilvl w:val="0"/>
          <w:numId w:val="2"/>
        </w:numPr>
        <w:shd w:val="clear" w:color="auto" w:fill="FFFFFF"/>
        <w:tabs>
          <w:tab w:val="clear" w:pos="720"/>
          <w:tab w:val="num" w:pos="284"/>
        </w:tabs>
        <w:spacing w:after="0" w:line="360" w:lineRule="auto"/>
        <w:ind w:left="0" w:firstLine="0"/>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 xml:space="preserve">Países con Bajo desarrollo </w:t>
      </w:r>
      <w:r>
        <w:rPr>
          <w:rFonts w:ascii="Bookman Old Style" w:eastAsia="Calibri" w:hAnsi="Bookman Old Style" w:cs="Times New Roman"/>
          <w:color w:val="000000" w:themeColor="text1"/>
          <w:sz w:val="24"/>
          <w:szCs w:val="32"/>
        </w:rPr>
        <w:t>Humano</w:t>
      </w:r>
      <w:r w:rsidRPr="007B1E00">
        <w:rPr>
          <w:rFonts w:ascii="Bookman Old Style" w:eastAsia="Calibri" w:hAnsi="Bookman Old Style" w:cs="Times New Roman"/>
          <w:color w:val="000000" w:themeColor="text1"/>
          <w:sz w:val="24"/>
          <w:szCs w:val="32"/>
        </w:rPr>
        <w:t>. Tienen un IDH menor de 0,50.</w:t>
      </w:r>
    </w:p>
    <w:p w:rsidR="000C0B2F" w:rsidRPr="007B1E00" w:rsidRDefault="000C0B2F" w:rsidP="000C0B2F">
      <w:pPr>
        <w:shd w:val="clear" w:color="auto" w:fill="FFFFFF"/>
        <w:spacing w:after="0" w:line="360" w:lineRule="auto"/>
        <w:jc w:val="both"/>
        <w:rPr>
          <w:rFonts w:ascii="Bookman Old Style" w:eastAsia="Calibri" w:hAnsi="Bookman Old Style" w:cs="Times New Roman"/>
          <w:color w:val="000000" w:themeColor="text1"/>
          <w:sz w:val="24"/>
          <w:szCs w:val="32"/>
        </w:rPr>
      </w:pPr>
      <w:r>
        <w:rPr>
          <w:rFonts w:ascii="Bookman Old Style" w:eastAsia="Calibri" w:hAnsi="Bookman Old Style" w:cs="Times New Roman"/>
          <w:color w:val="000000" w:themeColor="text1"/>
          <w:sz w:val="24"/>
          <w:szCs w:val="32"/>
        </w:rPr>
        <w:t>Argentina</w:t>
      </w:r>
      <w:r w:rsidRPr="003B2733">
        <w:rPr>
          <w:rFonts w:ascii="Arial" w:hAnsi="Arial" w:cs="Arial"/>
          <w:color w:val="0A0A0A"/>
          <w:spacing w:val="4"/>
          <w:sz w:val="27"/>
          <w:szCs w:val="27"/>
          <w:shd w:val="clear" w:color="auto" w:fill="FEFEFE"/>
        </w:rPr>
        <w:t xml:space="preserve"> </w:t>
      </w:r>
      <w:r>
        <w:rPr>
          <w:rFonts w:ascii="Arial" w:hAnsi="Arial" w:cs="Arial"/>
          <w:color w:val="0A0A0A"/>
          <w:spacing w:val="4"/>
          <w:sz w:val="27"/>
          <w:szCs w:val="27"/>
          <w:shd w:val="clear" w:color="auto" w:fill="FEFEFE"/>
        </w:rPr>
        <w:t xml:space="preserve">el IDH </w:t>
      </w:r>
      <w:r w:rsidRPr="003B2733">
        <w:rPr>
          <w:rFonts w:ascii="Bookman Old Style" w:eastAsia="Calibri" w:hAnsi="Bookman Old Style" w:cs="Times New Roman"/>
          <w:color w:val="000000" w:themeColor="text1"/>
          <w:sz w:val="24"/>
          <w:szCs w:val="32"/>
        </w:rPr>
        <w:t>para 2017 es 0,825</w:t>
      </w:r>
      <w:r>
        <w:rPr>
          <w:rFonts w:ascii="Arial" w:hAnsi="Arial" w:cs="Arial"/>
          <w:color w:val="0A0A0A"/>
          <w:spacing w:val="4"/>
          <w:sz w:val="27"/>
          <w:szCs w:val="27"/>
          <w:shd w:val="clear" w:color="auto" w:fill="FEFEFE"/>
        </w:rPr>
        <w:t>.</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7B1E00">
        <w:rPr>
          <w:rFonts w:ascii="Bookman Old Style" w:eastAsia="Calibri" w:hAnsi="Bookman Old Style" w:cs="Times New Roman"/>
          <w:color w:val="000000" w:themeColor="text1"/>
          <w:sz w:val="24"/>
          <w:szCs w:val="32"/>
        </w:rPr>
        <w:t>L</w:t>
      </w:r>
      <w:r>
        <w:rPr>
          <w:rFonts w:ascii="Bookman Old Style" w:eastAsia="Calibri" w:hAnsi="Bookman Old Style" w:cs="Times New Roman"/>
          <w:color w:val="000000" w:themeColor="text1"/>
          <w:sz w:val="24"/>
          <w:szCs w:val="32"/>
        </w:rPr>
        <w:t>a CEPAL considera apropiado ut</w:t>
      </w:r>
      <w:r w:rsidRPr="007B1E00">
        <w:rPr>
          <w:rFonts w:ascii="Bookman Old Style" w:eastAsia="Calibri" w:hAnsi="Bookman Old Style" w:cs="Times New Roman"/>
          <w:color w:val="000000" w:themeColor="text1"/>
          <w:sz w:val="24"/>
          <w:szCs w:val="32"/>
        </w:rPr>
        <w:t>i</w:t>
      </w:r>
      <w:r>
        <w:rPr>
          <w:rFonts w:ascii="Bookman Old Style" w:eastAsia="Calibri" w:hAnsi="Bookman Old Style" w:cs="Times New Roman"/>
          <w:color w:val="000000" w:themeColor="text1"/>
          <w:sz w:val="24"/>
          <w:szCs w:val="32"/>
        </w:rPr>
        <w:t>li</w:t>
      </w:r>
      <w:r w:rsidRPr="007B1E00">
        <w:rPr>
          <w:rFonts w:ascii="Bookman Old Style" w:eastAsia="Calibri" w:hAnsi="Bookman Old Style" w:cs="Times New Roman"/>
          <w:color w:val="000000" w:themeColor="text1"/>
          <w:sz w:val="24"/>
          <w:szCs w:val="32"/>
        </w:rPr>
        <w:t>zar</w:t>
      </w:r>
      <w:r>
        <w:rPr>
          <w:rFonts w:ascii="Bookman Old Style" w:eastAsia="Calibri" w:hAnsi="Bookman Old Style" w:cs="Times New Roman"/>
          <w:color w:val="000000" w:themeColor="text1"/>
          <w:sz w:val="24"/>
          <w:szCs w:val="32"/>
        </w:rPr>
        <w:t xml:space="preserve"> el método de Línea de Pobreza e Indigencia, para definir a aquella persona que se encuentra en “pobreza” o en extrema pobreza llamado “indigencia”.</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Pr>
          <w:rFonts w:ascii="Bookman Old Style" w:eastAsia="Calibri" w:hAnsi="Bookman Old Style" w:cs="Times New Roman"/>
          <w:color w:val="000000" w:themeColor="text1"/>
          <w:sz w:val="24"/>
          <w:szCs w:val="32"/>
        </w:rPr>
        <w:t xml:space="preserve">Se considera pobre desde la </w:t>
      </w:r>
      <w:r w:rsidRPr="007B1E00">
        <w:rPr>
          <w:rFonts w:ascii="Bookman Old Style" w:eastAsia="Calibri" w:hAnsi="Bookman Old Style" w:cs="Times New Roman"/>
          <w:b/>
          <w:color w:val="000000" w:themeColor="text1"/>
          <w:sz w:val="24"/>
          <w:szCs w:val="32"/>
        </w:rPr>
        <w:t>Línea de Pobreza</w:t>
      </w:r>
      <w:r>
        <w:rPr>
          <w:rFonts w:ascii="Bookman Old Style" w:eastAsia="Calibri" w:hAnsi="Bookman Old Style" w:cs="Times New Roman"/>
          <w:b/>
          <w:color w:val="000000" w:themeColor="text1"/>
          <w:sz w:val="24"/>
          <w:szCs w:val="32"/>
        </w:rPr>
        <w:t xml:space="preserve"> (LP)</w:t>
      </w:r>
      <w:r>
        <w:rPr>
          <w:rFonts w:ascii="Bookman Old Style" w:eastAsia="Calibri" w:hAnsi="Bookman Old Style" w:cs="Times New Roman"/>
          <w:color w:val="000000" w:themeColor="text1"/>
          <w:sz w:val="24"/>
          <w:szCs w:val="32"/>
        </w:rPr>
        <w:t xml:space="preserve"> aquellas personas que no logran alcanzar la Canasta Básica Total (CNT) que incluye la canasta alimentaria y  se amplía </w:t>
      </w:r>
      <w:r w:rsidRPr="00B929FF">
        <w:rPr>
          <w:rFonts w:ascii="Bookman Old Style" w:eastAsia="Calibri" w:hAnsi="Bookman Old Style" w:cs="Times New Roman"/>
          <w:color w:val="000000" w:themeColor="text1"/>
          <w:sz w:val="24"/>
          <w:szCs w:val="32"/>
        </w:rPr>
        <w:t>con la inclusión de bienes y servicios no alimentarios (vestimenta, transporte, educación, salud, etcétera)</w:t>
      </w:r>
      <w:r>
        <w:rPr>
          <w:rFonts w:ascii="Bookman Old Style" w:eastAsia="Calibri" w:hAnsi="Bookman Old Style" w:cs="Times New Roman"/>
          <w:color w:val="000000" w:themeColor="text1"/>
          <w:sz w:val="24"/>
          <w:szCs w:val="32"/>
        </w:rPr>
        <w:t xml:space="preserve">.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Pr>
          <w:rFonts w:ascii="Bookman Old Style" w:eastAsia="Calibri" w:hAnsi="Bookman Old Style" w:cs="Times New Roman"/>
          <w:color w:val="000000" w:themeColor="text1"/>
          <w:sz w:val="24"/>
          <w:szCs w:val="32"/>
        </w:rPr>
        <w:t xml:space="preserve">Mientras que se considera indigente desde la </w:t>
      </w:r>
      <w:r w:rsidRPr="00B929FF">
        <w:rPr>
          <w:rFonts w:ascii="Bookman Old Style" w:eastAsia="Calibri" w:hAnsi="Bookman Old Style" w:cs="Times New Roman"/>
          <w:b/>
          <w:color w:val="000000" w:themeColor="text1"/>
          <w:sz w:val="24"/>
          <w:szCs w:val="32"/>
        </w:rPr>
        <w:t>Línea de Indigencia (LI)</w:t>
      </w:r>
      <w:r>
        <w:rPr>
          <w:rFonts w:ascii="Bookman Old Style" w:eastAsia="Calibri" w:hAnsi="Bookman Old Style" w:cs="Times New Roman"/>
          <w:color w:val="000000" w:themeColor="text1"/>
          <w:sz w:val="24"/>
          <w:szCs w:val="32"/>
        </w:rPr>
        <w:t xml:space="preserve"> aquella persona que no logra cubrir la Canasta Básica, que incluye la alimentación.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73219C">
        <w:rPr>
          <w:rFonts w:ascii="Bookman Old Style" w:eastAsia="Calibri" w:hAnsi="Bookman Old Style" w:cs="Times New Roman"/>
          <w:color w:val="000000" w:themeColor="text1"/>
          <w:sz w:val="24"/>
          <w:szCs w:val="32"/>
        </w:rPr>
        <w:t xml:space="preserve">El </w:t>
      </w:r>
      <w:r w:rsidRPr="0073219C">
        <w:rPr>
          <w:rFonts w:ascii="Bookman Old Style" w:eastAsia="Calibri" w:hAnsi="Bookman Old Style" w:cs="Times New Roman"/>
          <w:b/>
          <w:color w:val="000000" w:themeColor="text1"/>
          <w:sz w:val="24"/>
          <w:szCs w:val="32"/>
        </w:rPr>
        <w:t xml:space="preserve">NBI </w:t>
      </w:r>
      <w:r w:rsidRPr="0073219C">
        <w:rPr>
          <w:rFonts w:ascii="Bookman Old Style" w:eastAsia="Calibri" w:hAnsi="Bookman Old Style" w:cs="Times New Roman"/>
          <w:color w:val="000000" w:themeColor="text1"/>
          <w:sz w:val="24"/>
          <w:szCs w:val="32"/>
        </w:rPr>
        <w:t xml:space="preserve">(Necesidades Básicas Insatisfechas) es un método para poder medir la condición de pobreza de un hogar. Existen varias metodologías con este objetivo (por ejemplo: pobreza monetaria, pobreza multidimensional, entre otras). La metodología de las NBI toma en cuenta si los hogares han satisfecho una serie de necesidades establecidas, considerando pobres a aquellos que no lo han logrado. Para construir el indicador se toman en cuenta las </w:t>
      </w:r>
      <w:r>
        <w:rPr>
          <w:rFonts w:ascii="Bookman Old Style" w:eastAsia="Calibri" w:hAnsi="Bookman Old Style" w:cs="Times New Roman"/>
          <w:color w:val="000000" w:themeColor="text1"/>
          <w:sz w:val="24"/>
          <w:szCs w:val="32"/>
        </w:rPr>
        <w:t>5 NBI mencionadas en el gráfico</w:t>
      </w:r>
      <w:r w:rsidRPr="0073219C">
        <w:rPr>
          <w:rFonts w:ascii="Bookman Old Style" w:eastAsia="Calibri" w:hAnsi="Bookman Old Style" w:cs="Times New Roman"/>
          <w:color w:val="000000" w:themeColor="text1"/>
          <w:sz w:val="24"/>
          <w:szCs w:val="32"/>
        </w:rPr>
        <w:t xml:space="preserve">.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Pr>
          <w:rFonts w:ascii="Bookman Old Style" w:eastAsia="Calibri" w:hAnsi="Bookman Old Style" w:cs="Times New Roman"/>
          <w:noProof/>
          <w:color w:val="000000" w:themeColor="text1"/>
          <w:sz w:val="24"/>
          <w:szCs w:val="32"/>
          <w:lang w:eastAsia="es-AR"/>
        </w:rPr>
        <w:drawing>
          <wp:anchor distT="0" distB="0" distL="114300" distR="114300" simplePos="0" relativeHeight="251662336" behindDoc="1" locked="0" layoutInCell="1" allowOverlap="1" wp14:anchorId="4BC546AB" wp14:editId="6A34EB41">
            <wp:simplePos x="0" y="0"/>
            <wp:positionH relativeFrom="column">
              <wp:posOffset>248732</wp:posOffset>
            </wp:positionH>
            <wp:positionV relativeFrom="paragraph">
              <wp:posOffset>19617</wp:posOffset>
            </wp:positionV>
            <wp:extent cx="5420360" cy="3822065"/>
            <wp:effectExtent l="19050" t="19050" r="27940" b="26035"/>
            <wp:wrapTight wrapText="bothSides">
              <wp:wrapPolygon edited="0">
                <wp:start x="-76" y="-108"/>
                <wp:lineTo x="-76" y="21639"/>
                <wp:lineTo x="21635" y="21639"/>
                <wp:lineTo x="21635" y="-108"/>
                <wp:lineTo x="-76" y="-108"/>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0360" cy="3822065"/>
                    </a:xfrm>
                    <a:prstGeom prst="rect">
                      <a:avLst/>
                    </a:prstGeom>
                    <a:noFill/>
                    <a:ln>
                      <a:solidFill>
                        <a:schemeClr val="tx1"/>
                      </a:solidFill>
                    </a:ln>
                  </pic:spPr>
                </pic:pic>
              </a:graphicData>
            </a:graphic>
          </wp:anchor>
        </w:drawing>
      </w:r>
      <w:r w:rsidRPr="0073219C">
        <w:rPr>
          <w:rFonts w:ascii="Bookman Old Style" w:eastAsia="Calibri" w:hAnsi="Bookman Old Style" w:cs="Times New Roman"/>
          <w:color w:val="000000" w:themeColor="text1"/>
          <w:sz w:val="24"/>
          <w:szCs w:val="32"/>
        </w:rPr>
        <w:t xml:space="preserve">La </w:t>
      </w:r>
      <w:r w:rsidRPr="0073219C">
        <w:rPr>
          <w:rFonts w:ascii="Bookman Old Style" w:eastAsia="Calibri" w:hAnsi="Bookman Old Style" w:cs="Times New Roman"/>
          <w:b/>
          <w:color w:val="000000" w:themeColor="text1"/>
          <w:sz w:val="24"/>
          <w:szCs w:val="32"/>
        </w:rPr>
        <w:t>primera</w:t>
      </w:r>
      <w:r w:rsidRPr="0073219C">
        <w:rPr>
          <w:rFonts w:ascii="Bookman Old Style" w:eastAsia="Calibri" w:hAnsi="Bookman Old Style" w:cs="Times New Roman"/>
          <w:color w:val="000000" w:themeColor="text1"/>
          <w:sz w:val="24"/>
          <w:szCs w:val="32"/>
        </w:rPr>
        <w:t xml:space="preserve"> </w:t>
      </w:r>
      <w:r w:rsidRPr="0073219C">
        <w:rPr>
          <w:rFonts w:ascii="Bookman Old Style" w:eastAsia="Calibri" w:hAnsi="Bookman Old Style" w:cs="Times New Roman"/>
          <w:b/>
          <w:color w:val="000000" w:themeColor="text1"/>
          <w:sz w:val="24"/>
          <w:szCs w:val="32"/>
        </w:rPr>
        <w:t>necesidad básica</w:t>
      </w:r>
      <w:r w:rsidRPr="0073219C">
        <w:rPr>
          <w:rFonts w:ascii="Bookman Old Style" w:eastAsia="Calibri" w:hAnsi="Bookman Old Style" w:cs="Times New Roman"/>
          <w:color w:val="000000" w:themeColor="text1"/>
          <w:sz w:val="24"/>
          <w:szCs w:val="32"/>
        </w:rPr>
        <w:t xml:space="preserve"> define a las viviendas como inadecuadas si cuentan con piso de tierra y paredes de quincha, piedra con barro, madera o estera.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73219C">
        <w:rPr>
          <w:rFonts w:ascii="Bookman Old Style" w:eastAsia="Calibri" w:hAnsi="Bookman Old Style" w:cs="Times New Roman"/>
          <w:color w:val="000000" w:themeColor="text1"/>
          <w:sz w:val="24"/>
          <w:szCs w:val="32"/>
        </w:rPr>
        <w:t xml:space="preserve">La </w:t>
      </w:r>
      <w:r w:rsidRPr="0073219C">
        <w:rPr>
          <w:rFonts w:ascii="Bookman Old Style" w:eastAsia="Calibri" w:hAnsi="Bookman Old Style" w:cs="Times New Roman"/>
          <w:b/>
          <w:color w:val="000000" w:themeColor="text1"/>
          <w:sz w:val="24"/>
          <w:szCs w:val="32"/>
        </w:rPr>
        <w:t>segunda necesidad básica</w:t>
      </w:r>
      <w:r w:rsidRPr="0073219C">
        <w:rPr>
          <w:rFonts w:ascii="Bookman Old Style" w:eastAsia="Calibri" w:hAnsi="Bookman Old Style" w:cs="Times New Roman"/>
          <w:color w:val="000000" w:themeColor="text1"/>
          <w:sz w:val="24"/>
          <w:szCs w:val="32"/>
        </w:rPr>
        <w:t xml:space="preserve"> considera a los hogares que tienen hacinamiento, es decir: si es que en el hogar hay más de 3,4 personas por dormitorio.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73219C">
        <w:rPr>
          <w:rFonts w:ascii="Bookman Old Style" w:eastAsia="Calibri" w:hAnsi="Bookman Old Style" w:cs="Times New Roman"/>
          <w:color w:val="000000" w:themeColor="text1"/>
          <w:sz w:val="24"/>
          <w:szCs w:val="32"/>
        </w:rPr>
        <w:t xml:space="preserve">La </w:t>
      </w:r>
      <w:r w:rsidRPr="0073219C">
        <w:rPr>
          <w:rFonts w:ascii="Bookman Old Style" w:eastAsia="Calibri" w:hAnsi="Bookman Old Style" w:cs="Times New Roman"/>
          <w:b/>
          <w:color w:val="000000" w:themeColor="text1"/>
          <w:sz w:val="24"/>
          <w:szCs w:val="32"/>
        </w:rPr>
        <w:t>tercera necesidad básica</w:t>
      </w:r>
      <w:r w:rsidRPr="0073219C">
        <w:rPr>
          <w:rFonts w:ascii="Bookman Old Style" w:eastAsia="Calibri" w:hAnsi="Bookman Old Style" w:cs="Times New Roman"/>
          <w:color w:val="000000" w:themeColor="text1"/>
          <w:sz w:val="24"/>
          <w:szCs w:val="32"/>
        </w:rPr>
        <w:t xml:space="preserve"> considera los hogares que no cuentan con ningún tipo de desagüe. </w:t>
      </w:r>
    </w:p>
    <w:p w:rsidR="000C0B2F" w:rsidRDefault="000C0B2F" w:rsidP="000C0B2F">
      <w:pPr>
        <w:spacing w:after="0" w:line="360" w:lineRule="auto"/>
        <w:jc w:val="both"/>
        <w:rPr>
          <w:rFonts w:ascii="Bookman Old Style" w:eastAsia="Calibri" w:hAnsi="Bookman Old Style" w:cs="Times New Roman"/>
          <w:color w:val="000000" w:themeColor="text1"/>
          <w:sz w:val="24"/>
          <w:szCs w:val="32"/>
        </w:rPr>
      </w:pPr>
      <w:r w:rsidRPr="0073219C">
        <w:rPr>
          <w:rFonts w:ascii="Bookman Old Style" w:eastAsia="Calibri" w:hAnsi="Bookman Old Style" w:cs="Times New Roman"/>
          <w:color w:val="000000" w:themeColor="text1"/>
          <w:sz w:val="24"/>
          <w:szCs w:val="32"/>
        </w:rPr>
        <w:t xml:space="preserve">La </w:t>
      </w:r>
      <w:r w:rsidRPr="0073219C">
        <w:rPr>
          <w:rFonts w:ascii="Bookman Old Style" w:eastAsia="Calibri" w:hAnsi="Bookman Old Style" w:cs="Times New Roman"/>
          <w:b/>
          <w:color w:val="000000" w:themeColor="text1"/>
          <w:sz w:val="24"/>
          <w:szCs w:val="32"/>
        </w:rPr>
        <w:t>cuarta necesidad básica</w:t>
      </w:r>
      <w:r w:rsidRPr="0073219C">
        <w:rPr>
          <w:rFonts w:ascii="Bookman Old Style" w:eastAsia="Calibri" w:hAnsi="Bookman Old Style" w:cs="Times New Roman"/>
          <w:color w:val="000000" w:themeColor="text1"/>
          <w:sz w:val="24"/>
          <w:szCs w:val="32"/>
        </w:rPr>
        <w:t xml:space="preserve"> considera a los hogares que tienen al menos un niño de seis a doce años que no asiste a la escuela. </w:t>
      </w:r>
    </w:p>
    <w:p w:rsidR="000C0B2F" w:rsidRPr="0073219C" w:rsidRDefault="000C0B2F" w:rsidP="000C0B2F">
      <w:pPr>
        <w:spacing w:after="0" w:line="360" w:lineRule="auto"/>
        <w:jc w:val="both"/>
        <w:rPr>
          <w:rFonts w:ascii="Bookman Old Style" w:eastAsia="Calibri" w:hAnsi="Bookman Old Style" w:cs="Times New Roman"/>
          <w:color w:val="000000" w:themeColor="text1"/>
          <w:sz w:val="24"/>
          <w:szCs w:val="32"/>
        </w:rPr>
      </w:pPr>
      <w:r w:rsidRPr="0073219C">
        <w:rPr>
          <w:rFonts w:ascii="Bookman Old Style" w:eastAsia="Calibri" w:hAnsi="Bookman Old Style" w:cs="Times New Roman"/>
          <w:color w:val="000000" w:themeColor="text1"/>
          <w:sz w:val="24"/>
          <w:szCs w:val="32"/>
        </w:rPr>
        <w:t xml:space="preserve">Finalmente, la </w:t>
      </w:r>
      <w:r w:rsidRPr="0073219C">
        <w:rPr>
          <w:rFonts w:ascii="Bookman Old Style" w:eastAsia="Calibri" w:hAnsi="Bookman Old Style" w:cs="Times New Roman"/>
          <w:b/>
          <w:color w:val="000000" w:themeColor="text1"/>
          <w:sz w:val="24"/>
          <w:szCs w:val="32"/>
        </w:rPr>
        <w:t>quinta necesidad básica</w:t>
      </w:r>
      <w:r w:rsidRPr="0073219C">
        <w:rPr>
          <w:rFonts w:ascii="Bookman Old Style" w:eastAsia="Calibri" w:hAnsi="Bookman Old Style" w:cs="Times New Roman"/>
          <w:color w:val="000000" w:themeColor="text1"/>
          <w:sz w:val="24"/>
          <w:szCs w:val="32"/>
        </w:rPr>
        <w:t xml:space="preserve"> considera los hogares con alta dependencia económica, es decir aquellos hogares que cuentan con un jefe de hogar que sólo haya cursado hasta el segundo año de primaria, o con más de 4 personas desempleadas por persona empleada (o con todos los miembros de hogar desempleados). En nuestro país el 14,4% de los hogares cuenta con al menos una NBI, siendo la tercera necesidad básica la que tiene mayor incidencia en la poblac</w:t>
      </w:r>
      <w:r>
        <w:rPr>
          <w:rFonts w:ascii="Bookman Old Style" w:eastAsia="Calibri" w:hAnsi="Bookman Old Style" w:cs="Times New Roman"/>
          <w:color w:val="000000" w:themeColor="text1"/>
          <w:sz w:val="24"/>
          <w:szCs w:val="32"/>
        </w:rPr>
        <w:t>ión (9,3%)</w:t>
      </w:r>
      <w:r>
        <w:rPr>
          <w:rFonts w:ascii="Bookman Old Style" w:hAnsi="Bookman Old Style" w:cs="Arial"/>
          <w:sz w:val="28"/>
          <w:szCs w:val="24"/>
        </w:rPr>
        <w:br w:type="page"/>
      </w:r>
      <w:r w:rsidRPr="0073219C">
        <w:rPr>
          <w:rFonts w:ascii="Bookman Old Style" w:hAnsi="Bookman Old Style" w:cs="Arial"/>
          <w:sz w:val="24"/>
          <w:szCs w:val="24"/>
        </w:rPr>
        <w:t>ACTIVIDADES</w:t>
      </w: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1-Elabore un esquema y explique cada uno de los indicadores que se utilizan para medir la pobreza.</w:t>
      </w: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2-¿Cuál es la diferencia entre pobre e indigente?</w:t>
      </w: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3-¿Qué incluye la Canasta Básica Total y la Canasta Básica?</w:t>
      </w: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4-Complete el siguiente esquema:</w:t>
      </w:r>
    </w:p>
    <w:tbl>
      <w:tblPr>
        <w:tblStyle w:val="Tablaconcuadrcula"/>
        <w:tblW w:w="0" w:type="auto"/>
        <w:tblLook w:val="04A0" w:firstRow="1" w:lastRow="0" w:firstColumn="1" w:lastColumn="0" w:noHBand="0" w:noVBand="1"/>
      </w:tblPr>
      <w:tblGrid>
        <w:gridCol w:w="3224"/>
        <w:gridCol w:w="5270"/>
      </w:tblGrid>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center"/>
              <w:rPr>
                <w:rFonts w:ascii="Bookman Old Style" w:eastAsiaTheme="minorHAnsi" w:hAnsi="Bookman Old Style" w:cs="Arial"/>
                <w:lang w:val="es-AR" w:eastAsia="en-US"/>
              </w:rPr>
            </w:pPr>
            <w:r>
              <w:rPr>
                <w:rFonts w:ascii="Bookman Old Style" w:eastAsiaTheme="minorHAnsi" w:hAnsi="Bookman Old Style" w:cs="Arial"/>
                <w:lang w:val="es-AR" w:eastAsia="en-US"/>
              </w:rPr>
              <w:t>Indicador</w:t>
            </w:r>
          </w:p>
        </w:tc>
        <w:tc>
          <w:tcPr>
            <w:tcW w:w="5757" w:type="dxa"/>
            <w:shd w:val="clear" w:color="auto" w:fill="DBDBDB" w:themeFill="accent3" w:themeFillTint="66"/>
          </w:tcPr>
          <w:p w:rsidR="000C0B2F" w:rsidRDefault="000C0B2F" w:rsidP="00F34256">
            <w:pPr>
              <w:pStyle w:val="NormalWeb"/>
              <w:spacing w:before="0" w:beforeAutospacing="0" w:after="0" w:afterAutospacing="0" w:line="360" w:lineRule="auto"/>
              <w:jc w:val="center"/>
              <w:rPr>
                <w:rFonts w:ascii="Bookman Old Style" w:eastAsiaTheme="minorHAnsi" w:hAnsi="Bookman Old Style" w:cs="Arial"/>
                <w:lang w:val="es-AR" w:eastAsia="en-US"/>
              </w:rPr>
            </w:pPr>
            <w:r>
              <w:rPr>
                <w:rFonts w:ascii="Bookman Old Style" w:eastAsiaTheme="minorHAnsi" w:hAnsi="Bookman Old Style" w:cs="Arial"/>
                <w:lang w:val="es-AR" w:eastAsia="en-US"/>
              </w:rPr>
              <w:t>Definición</w:t>
            </w:r>
          </w:p>
        </w:tc>
      </w:tr>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Hacinamiento</w:t>
            </w:r>
          </w:p>
        </w:tc>
        <w:tc>
          <w:tcPr>
            <w:tcW w:w="5757" w:type="dxa"/>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tc>
      </w:tr>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Vivienda precaria</w:t>
            </w:r>
          </w:p>
        </w:tc>
        <w:tc>
          <w:tcPr>
            <w:tcW w:w="5757" w:type="dxa"/>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tc>
      </w:tr>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Condiciones sanitarias</w:t>
            </w:r>
          </w:p>
        </w:tc>
        <w:tc>
          <w:tcPr>
            <w:tcW w:w="5757" w:type="dxa"/>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tc>
      </w:tr>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Asistencia escolar</w:t>
            </w:r>
          </w:p>
        </w:tc>
        <w:tc>
          <w:tcPr>
            <w:tcW w:w="5757" w:type="dxa"/>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tc>
      </w:tr>
      <w:tr w:rsidR="000C0B2F" w:rsidTr="00F34256">
        <w:tc>
          <w:tcPr>
            <w:tcW w:w="3397" w:type="dxa"/>
            <w:shd w:val="clear" w:color="auto" w:fill="DBDBDB" w:themeFill="accent3" w:themeFillTint="66"/>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Capacidad de subsistencia</w:t>
            </w:r>
          </w:p>
        </w:tc>
        <w:tc>
          <w:tcPr>
            <w:tcW w:w="5757" w:type="dxa"/>
          </w:tcPr>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F34256">
            <w:pPr>
              <w:pStyle w:val="NormalWeb"/>
              <w:spacing w:before="0" w:beforeAutospacing="0" w:after="0" w:afterAutospacing="0" w:line="360" w:lineRule="auto"/>
              <w:jc w:val="both"/>
              <w:rPr>
                <w:rFonts w:ascii="Bookman Old Style" w:eastAsiaTheme="minorHAnsi" w:hAnsi="Bookman Old Style" w:cs="Arial"/>
                <w:lang w:val="es-AR" w:eastAsia="en-US"/>
              </w:rPr>
            </w:pPr>
          </w:p>
        </w:tc>
      </w:tr>
    </w:tbl>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numPr>
          <w:ilvl w:val="0"/>
          <w:numId w:val="1"/>
        </w:numPr>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Complete la frase</w:t>
      </w:r>
    </w:p>
    <w:p w:rsidR="000C0B2F" w:rsidRDefault="000C0B2F" w:rsidP="000C0B2F">
      <w:pPr>
        <w:pStyle w:val="NormalWeb"/>
        <w:numPr>
          <w:ilvl w:val="0"/>
          <w:numId w:val="3"/>
        </w:numPr>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Valor de la canasta básica total en Argentina:……………………………</w:t>
      </w:r>
    </w:p>
    <w:p w:rsidR="000C0B2F" w:rsidRDefault="000C0B2F" w:rsidP="000C0B2F">
      <w:pPr>
        <w:pStyle w:val="NormalWeb"/>
        <w:numPr>
          <w:ilvl w:val="0"/>
          <w:numId w:val="3"/>
        </w:numPr>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Valor de la canasta básica en Argentina:……………………….</w:t>
      </w:r>
    </w:p>
    <w:p w:rsidR="000C0B2F" w:rsidRDefault="000C0B2F" w:rsidP="000C0B2F">
      <w:pPr>
        <w:pStyle w:val="NormalWeb"/>
        <w:numPr>
          <w:ilvl w:val="0"/>
          <w:numId w:val="3"/>
        </w:numPr>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Valor del NBI en Argentina……………………….</w:t>
      </w:r>
    </w:p>
    <w:p w:rsidR="000C0B2F" w:rsidRDefault="000C0B2F" w:rsidP="000C0B2F">
      <w:pPr>
        <w:pStyle w:val="NormalWeb"/>
        <w:numPr>
          <w:ilvl w:val="0"/>
          <w:numId w:val="3"/>
        </w:numPr>
        <w:spacing w:before="0" w:beforeAutospacing="0" w:after="0" w:afterAutospacing="0" w:line="360" w:lineRule="auto"/>
        <w:jc w:val="both"/>
        <w:rPr>
          <w:rFonts w:ascii="Bookman Old Style" w:eastAsiaTheme="minorHAnsi" w:hAnsi="Bookman Old Style" w:cs="Arial"/>
          <w:lang w:val="es-AR" w:eastAsia="en-US"/>
        </w:rPr>
      </w:pPr>
      <w:r>
        <w:rPr>
          <w:rFonts w:ascii="Bookman Old Style" w:eastAsiaTheme="minorHAnsi" w:hAnsi="Bookman Old Style" w:cs="Arial"/>
          <w:lang w:val="es-AR" w:eastAsia="en-US"/>
        </w:rPr>
        <w:t>Valor de IDH en Argentina…………….</w:t>
      </w: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0C0B2F" w:rsidRDefault="000C0B2F" w:rsidP="000C0B2F">
      <w:pPr>
        <w:pStyle w:val="NormalWeb"/>
        <w:spacing w:before="0" w:beforeAutospacing="0" w:after="0" w:afterAutospacing="0" w:line="360" w:lineRule="auto"/>
        <w:jc w:val="both"/>
        <w:rPr>
          <w:rFonts w:ascii="Bookman Old Style" w:eastAsiaTheme="minorHAnsi" w:hAnsi="Bookman Old Style" w:cs="Arial"/>
          <w:lang w:val="es-AR" w:eastAsia="en-US"/>
        </w:rPr>
      </w:pPr>
    </w:p>
    <w:p w:rsidR="00B45134" w:rsidRDefault="00B45134">
      <w:bookmarkStart w:id="0" w:name="_GoBack"/>
      <w:bookmarkEnd w:id="0"/>
    </w:p>
    <w:sectPr w:rsidR="00B451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824"/>
    <w:multiLevelType w:val="multilevel"/>
    <w:tmpl w:val="1C34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B0887"/>
    <w:multiLevelType w:val="multilevel"/>
    <w:tmpl w:val="24EB08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247BA0"/>
    <w:multiLevelType w:val="hybridMultilevel"/>
    <w:tmpl w:val="02FAAD94"/>
    <w:lvl w:ilvl="0" w:tplc="4C92FDC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2F"/>
    <w:rsid w:val="000C0B2F"/>
    <w:rsid w:val="00B451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9FBFA-F5D6-460E-81DD-2E4C81CB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B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C0B2F"/>
    <w:pPr>
      <w:widowControl w:val="0"/>
      <w:spacing w:after="0" w:line="240" w:lineRule="auto"/>
      <w:ind w:left="133"/>
    </w:pPr>
    <w:rPr>
      <w:rFonts w:ascii="Arial" w:eastAsia="Arial" w:hAnsi="Arial"/>
      <w:sz w:val="21"/>
      <w:szCs w:val="21"/>
      <w:lang w:val="en-US"/>
    </w:rPr>
  </w:style>
  <w:style w:type="character" w:customStyle="1" w:styleId="TextoindependienteCar">
    <w:name w:val="Texto independiente Car"/>
    <w:basedOn w:val="Fuentedeprrafopredeter"/>
    <w:link w:val="Textoindependiente"/>
    <w:uiPriority w:val="1"/>
    <w:rsid w:val="000C0B2F"/>
    <w:rPr>
      <w:rFonts w:ascii="Arial" w:eastAsia="Arial" w:hAnsi="Arial"/>
      <w:sz w:val="21"/>
      <w:szCs w:val="21"/>
      <w:lang w:val="en-US"/>
    </w:rPr>
  </w:style>
  <w:style w:type="paragraph" w:styleId="NormalWeb">
    <w:name w:val="Normal (Web)"/>
    <w:basedOn w:val="Normal"/>
    <w:uiPriority w:val="99"/>
    <w:unhideWhenUsed/>
    <w:qFormat/>
    <w:rsid w:val="000C0B2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0C0B2F"/>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2022-08-22T22:48:00Z</dcterms:created>
  <dcterms:modified xsi:type="dcterms:W3CDTF">2022-08-22T22:49:00Z</dcterms:modified>
</cp:coreProperties>
</file>