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A19" w:rsidRDefault="00084F16">
      <w:pPr>
        <w:rPr>
          <w:rFonts w:ascii="Arial" w:hAnsi="Arial" w:cs="Arial"/>
          <w:b/>
          <w:i/>
          <w:color w:val="4F81BD" w:themeColor="accen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i/>
          <w:noProof/>
          <w:color w:val="4F81BD" w:themeColor="accent1"/>
          <w:sz w:val="72"/>
          <w:szCs w:val="72"/>
          <w:lang w:eastAsia="es-AR"/>
        </w:rPr>
        <mc:AlternateContent>
          <mc:Choice Requires="wps">
            <w:drawing>
              <wp:anchor distT="0" distB="0" distL="114300" distR="114300" simplePos="0" relativeHeight="251659264" behindDoc="0" locked="0" layoutInCell="1" allowOverlap="1">
                <wp:simplePos x="0" y="0"/>
                <wp:positionH relativeFrom="column">
                  <wp:posOffset>-367754</wp:posOffset>
                </wp:positionH>
                <wp:positionV relativeFrom="paragraph">
                  <wp:posOffset>556865</wp:posOffset>
                </wp:positionV>
                <wp:extent cx="6273210" cy="3253563"/>
                <wp:effectExtent l="0" t="0" r="13335" b="23495"/>
                <wp:wrapNone/>
                <wp:docPr id="3" name="3 Rectángulo"/>
                <wp:cNvGraphicFramePr/>
                <a:graphic xmlns:a="http://schemas.openxmlformats.org/drawingml/2006/main">
                  <a:graphicData uri="http://schemas.microsoft.com/office/word/2010/wordprocessingShape">
                    <wps:wsp>
                      <wps:cNvSpPr/>
                      <wps:spPr>
                        <a:xfrm>
                          <a:off x="0" y="0"/>
                          <a:ext cx="6273210" cy="3253563"/>
                        </a:xfrm>
                        <a:prstGeom prst="rect">
                          <a:avLst/>
                        </a:prstGeom>
                      </wps:spPr>
                      <wps:style>
                        <a:lnRef idx="2">
                          <a:schemeClr val="dk1"/>
                        </a:lnRef>
                        <a:fillRef idx="1">
                          <a:schemeClr val="lt1"/>
                        </a:fillRef>
                        <a:effectRef idx="0">
                          <a:schemeClr val="dk1"/>
                        </a:effectRef>
                        <a:fontRef idx="minor">
                          <a:schemeClr val="dk1"/>
                        </a:fontRef>
                      </wps:style>
                      <wps:txbx>
                        <w:txbxContent>
                          <w:p w:rsidR="00750F71" w:rsidRDefault="00750F71" w:rsidP="00084F16">
                            <w:pPr>
                              <w:jc w:val="center"/>
                              <w:rPr>
                                <w:noProof/>
                                <w:lang w:eastAsia="es-AR"/>
                              </w:rPr>
                            </w:pPr>
                            <w:r>
                              <w:rPr>
                                <w:noProof/>
                                <w:lang w:eastAsia="es-AR"/>
                              </w:rPr>
                              <w:drawing>
                                <wp:inline distT="0" distB="0" distL="0" distR="0" wp14:anchorId="35061F77" wp14:editId="46F1E4BB">
                                  <wp:extent cx="5497033" cy="3402923"/>
                                  <wp:effectExtent l="133350" t="95250" r="142240" b="1600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799.tmp"/>
                                          <pic:cNvPicPr/>
                                        </pic:nvPicPr>
                                        <pic:blipFill rotWithShape="1">
                                          <a:blip r:embed="rId6">
                                            <a:extLst>
                                              <a:ext uri="{28A0092B-C50C-407E-A947-70E740481C1C}">
                                                <a14:useLocalDpi xmlns:a14="http://schemas.microsoft.com/office/drawing/2010/main" val="0"/>
                                              </a:ext>
                                            </a:extLst>
                                          </a:blip>
                                          <a:srcRect l="60917" t="20702" r="12111" b="48416"/>
                                          <a:stretch/>
                                        </pic:blipFill>
                                        <pic:spPr bwMode="auto">
                                          <a:xfrm>
                                            <a:off x="0" y="0"/>
                                            <a:ext cx="5512605" cy="3412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84F16" w:rsidRDefault="00084F16" w:rsidP="00750F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28.95pt;margin-top:43.85pt;width:493.95pt;height:25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" fillcolor="white [3201]" strokecolor="black [3200]" strokeweight="2pt">
                <v:textbox>
                  <w:txbxContent>
                    <w:p w:rsidR="00750F71" w:rsidRDefault="00750F71" w:rsidP="00084F16">
                      <w:pPr>
                        <w:jc w:val="center"/>
                        <w:rPr>
                          <w:noProof/>
                          <w:lang w:eastAsia="es-AR"/>
                        </w:rPr>
                      </w:pPr>
                      <w:r>
                        <w:rPr>
                          <w:noProof/>
                          <w:lang w:eastAsia="es-AR"/>
                        </w:rPr>
                        <w:drawing>
                          <wp:inline distT="0" distB="0" distL="0" distR="0" wp14:anchorId="35061F77" wp14:editId="46F1E4BB">
                            <wp:extent cx="5497033" cy="3402923"/>
                            <wp:effectExtent l="133350" t="95250" r="142240" b="1600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799.tmp"/>
                                    <pic:cNvPicPr/>
                                  </pic:nvPicPr>
                                  <pic:blipFill rotWithShape="1">
                                    <a:blip r:embed="rId6">
                                      <a:extLst>
                                        <a:ext uri="{28A0092B-C50C-407E-A947-70E740481C1C}">
                                          <a14:useLocalDpi xmlns:a14="http://schemas.microsoft.com/office/drawing/2010/main" val="0"/>
                                        </a:ext>
                                      </a:extLst>
                                    </a:blip>
                                    <a:srcRect l="60917" t="20702" r="12111" b="48416"/>
                                    <a:stretch/>
                                  </pic:blipFill>
                                  <pic:spPr bwMode="auto">
                                    <a:xfrm>
                                      <a:off x="0" y="0"/>
                                      <a:ext cx="5512605" cy="3412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84F16" w:rsidRDefault="00084F16" w:rsidP="00750F71"/>
                  </w:txbxContent>
                </v:textbox>
              </v:rect>
            </w:pict>
          </mc:Fallback>
        </mc:AlternateContent>
      </w:r>
      <w:r w:rsidR="005D5A19" w:rsidRPr="005D5A19">
        <w:rPr>
          <w:rFonts w:ascii="Arial" w:hAnsi="Arial" w:cs="Arial"/>
          <w:b/>
          <w:i/>
          <w:color w:val="4F81BD" w:themeColor="accen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ALTAR</w:t>
      </w:r>
    </w:p>
    <w:p w:rsidR="005D5A19" w:rsidRDefault="005D5A19">
      <w:pPr>
        <w:rPr>
          <w:rFonts w:ascii="Arial" w:hAnsi="Arial" w:cs="Arial"/>
          <w:b/>
          <w:i/>
          <w:color w:val="4F81BD" w:themeColor="accen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D5A19" w:rsidRDefault="005D5A19">
      <w:pPr>
        <w:rPr>
          <w:rFonts w:ascii="Arial" w:hAnsi="Arial" w:cs="Arial"/>
          <w:b/>
          <w:i/>
          <w:color w:val="4F81BD" w:themeColor="accen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D5A19" w:rsidRDefault="005D5A19">
      <w:pPr>
        <w:rPr>
          <w:rFonts w:ascii="Arial" w:hAnsi="Arial" w:cs="Arial"/>
          <w:b/>
          <w:i/>
          <w:color w:val="4F81BD" w:themeColor="accen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D5A19" w:rsidRDefault="005D5A19">
      <w:pPr>
        <w:rPr>
          <w:rFonts w:ascii="Arial" w:hAnsi="Arial" w:cs="Arial"/>
          <w:b/>
          <w:i/>
          <w:color w:val="4F81BD" w:themeColor="accen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D5A19" w:rsidRDefault="005D5A19">
      <w:pP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ALUMNOS :</w:t>
      </w:r>
      <w:proofErr w:type="gramEnd"/>
      <w: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Tomas Andrade </w:t>
      </w:r>
    </w:p>
    <w:p w:rsidR="005D5A19" w:rsidRDefault="005D5A19">
      <w:pP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Tobías Aballay</w:t>
      </w:r>
    </w:p>
    <w:p w:rsidR="00750F71" w:rsidRPr="005D5A19" w:rsidRDefault="00750F71">
      <w:pP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German </w:t>
      </w:r>
      <w:proofErr w:type="spellStart"/>
      <w:r>
        <w:rPr>
          <w:rFonts w:ascii="Arial" w:hAnsi="Arial" w:cs="Arial"/>
          <w:b/>
          <w:i/>
          <w:color w:val="4F81BD" w:themeColor="accent1"/>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Sanchez</w:t>
      </w:r>
      <w:proofErr w:type="spellEnd"/>
    </w:p>
    <w:p w:rsidR="005D5A19" w:rsidRDefault="005D5A19"/>
    <w:p w:rsidR="00017CA5" w:rsidRDefault="00017CA5"/>
    <w:p w:rsidR="00750F71" w:rsidRDefault="00750F71">
      <w:pPr>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750F71" w:rsidRDefault="00750F71">
      <w:pPr>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750F71" w:rsidRDefault="00750F71">
      <w:pPr>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750F71" w:rsidRDefault="00750F71">
      <w:pPr>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750F71" w:rsidRDefault="00750F71">
      <w:pPr>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017CA5" w:rsidRPr="00084F16" w:rsidRDefault="00017CA5">
      <w:pPr>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4F16">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¿QUE ES</w:t>
      </w:r>
      <w:r w:rsidR="00084F16" w:rsidRPr="00084F16">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Y DONDE ESTA UBICADO</w:t>
      </w:r>
      <w:r w:rsidRPr="00084F16">
        <w:rPr>
          <w:b/>
          <w:sz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54668E" w:rsidRDefault="00084F16" w:rsidP="00084F16">
      <w:pPr>
        <w:spacing w:line="240" w:lineRule="auto"/>
      </w:pPr>
      <w:r>
        <w:t>ES</w:t>
      </w:r>
      <w:r w:rsidR="005D5A19" w:rsidRPr="005D5A19">
        <w:t xml:space="preserve"> un proyecto del sector Minería y Metales. Conecta con las empresas a cargo, sus contactos clave, etapa actual, hitos, noticias relacionadas y más. Algunos temas relacionados a sus desarrollos son: Cobre y Oro.</w:t>
      </w:r>
    </w:p>
    <w:p w:rsidR="005D5A19" w:rsidRPr="005D5A19" w:rsidRDefault="005D5A19" w:rsidP="00084F16">
      <w:pPr>
        <w:spacing w:line="240" w:lineRule="auto"/>
      </w:pPr>
      <w:r w:rsidRPr="005D5A19">
        <w:t xml:space="preserve"> El proyecto Altar se ubica en los Andes argentinos, 185km al oeste de la ciudad de San Juan, y alberga un gran sistema de pórfido de cobre y oro con mineralización definida en tres zonas distintas: Altar East, Altar Central y QDM-Radio. La mineralización en todos estos depósitos de pórfido está asociada con centros intrusivos del Mioceno emplazados en rocas volcánicas del Mioceno y es predominantemente cobre o cobre-molibdeno.</w:t>
      </w:r>
      <w:r w:rsidR="00084F16" w:rsidRPr="00084F16">
        <w:t xml:space="preserve"> El programa de exploración más grande en el Proyecto Altar Río Cenicero, ubicado en el departamento Calingasta, tendrá cuatro máquinas de perforación en funcionamiento lo cual representa un hito para la empresa Aldebarán Resources.</w:t>
      </w:r>
    </w:p>
    <w:p w:rsidR="005D5A19" w:rsidRDefault="005D5A19">
      <w:r>
        <w:rPr>
          <w:noProof/>
          <w:lang w:eastAsia="es-AR"/>
        </w:rPr>
        <w:drawing>
          <wp:inline distT="0" distB="0" distL="0" distR="0">
            <wp:extent cx="5612130" cy="3168015"/>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jpg"/>
                    <pic:cNvPicPr/>
                  </pic:nvPicPr>
                  <pic:blipFill>
                    <a:blip r:embed="rId7">
                      <a:extLst>
                        <a:ext uri="{28A0092B-C50C-407E-A947-70E740481C1C}">
                          <a14:useLocalDpi xmlns:a14="http://schemas.microsoft.com/office/drawing/2010/main" val="0"/>
                        </a:ext>
                      </a:extLst>
                    </a:blip>
                    <a:stretch>
                      <a:fillRect/>
                    </a:stretch>
                  </pic:blipFill>
                  <pic:spPr>
                    <a:xfrm>
                      <a:off x="0" y="0"/>
                      <a:ext cx="5612130" cy="3168015"/>
                    </a:xfrm>
                    <a:prstGeom prst="rect">
                      <a:avLst/>
                    </a:prstGeom>
                  </pic:spPr>
                </pic:pic>
              </a:graphicData>
            </a:graphic>
          </wp:inline>
        </w:drawing>
      </w:r>
    </w:p>
    <w:p w:rsidR="00084F16" w:rsidRPr="00084F16" w:rsidRDefault="00084F16" w:rsidP="00084F16">
      <w:pPr>
        <w:spacing w:after="0" w:line="240" w:lineRule="auto"/>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4F16">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Descripción del Proyecto</w:t>
      </w:r>
    </w:p>
    <w:p w:rsidR="00084F16" w:rsidRDefault="00084F16" w:rsidP="00084F16">
      <w:pPr>
        <w:spacing w:after="0" w:line="240" w:lineRule="auto"/>
      </w:pPr>
    </w:p>
    <w:p w:rsidR="00084F16" w:rsidRPr="00084F16" w:rsidRDefault="00084F16" w:rsidP="00084F16">
      <w:pPr>
        <w:spacing w:after="0" w:line="240" w:lineRule="auto"/>
      </w:pPr>
      <w:r w:rsidRPr="00084F16">
        <w:t>El Altar es un yacimiento tipo pórfido cuprífero de la edad del</w:t>
      </w:r>
    </w:p>
    <w:p w:rsidR="00084F16" w:rsidRPr="00084F16" w:rsidRDefault="00084F16" w:rsidP="00084F16">
      <w:pPr>
        <w:spacing w:after="0" w:line="240" w:lineRule="auto"/>
      </w:pPr>
      <w:r w:rsidRPr="00084F16">
        <w:t>Mioceno ubicado en la faja de depósitos de pórfidos cupríferos de clase mundial, que</w:t>
      </w:r>
    </w:p>
    <w:p w:rsidR="00084F16" w:rsidRPr="00084F16" w:rsidRDefault="00084F16" w:rsidP="00084F16">
      <w:pPr>
        <w:spacing w:after="0" w:line="240" w:lineRule="auto"/>
      </w:pPr>
      <w:r w:rsidRPr="00084F16">
        <w:t>Incluye</w:t>
      </w:r>
      <w:r w:rsidRPr="00084F16">
        <w:t xml:space="preserve"> El Teniente, Los Bronces-Río Blanco, y Los Pelambres-El Pachón. La zona de</w:t>
      </w:r>
    </w:p>
    <w:p w:rsidR="00084F16" w:rsidRPr="00084F16" w:rsidRDefault="00084F16" w:rsidP="00084F16">
      <w:pPr>
        <w:spacing w:after="0" w:line="240" w:lineRule="auto"/>
      </w:pPr>
      <w:r w:rsidRPr="00084F16">
        <w:t>Alteración</w:t>
      </w:r>
      <w:r w:rsidRPr="00084F16">
        <w:t xml:space="preserve"> de El Altar comprende un área que mide más de tres por dos kilómetros, con una</w:t>
      </w:r>
    </w:p>
    <w:p w:rsidR="00084F16" w:rsidRPr="00084F16" w:rsidRDefault="00084F16" w:rsidP="00084F16">
      <w:pPr>
        <w:spacing w:after="0" w:line="240" w:lineRule="auto"/>
      </w:pPr>
      <w:r w:rsidRPr="00084F16">
        <w:t>Fuerte</w:t>
      </w:r>
      <w:r w:rsidRPr="00084F16">
        <w:t xml:space="preserve"> y coincidente anomalía geofísica de polarización inducida (PI) de aproximadamente</w:t>
      </w:r>
    </w:p>
    <w:p w:rsidR="00084F16" w:rsidRPr="00084F16" w:rsidRDefault="00084F16" w:rsidP="00084F16">
      <w:pPr>
        <w:spacing w:after="0" w:line="240" w:lineRule="auto"/>
      </w:pPr>
      <w:bookmarkStart w:id="0" w:name="_GoBack"/>
      <w:proofErr w:type="gramStart"/>
      <w:r w:rsidRPr="00084F16">
        <w:t>el</w:t>
      </w:r>
      <w:proofErr w:type="gramEnd"/>
      <w:r w:rsidRPr="00084F16">
        <w:t xml:space="preserve"> mismo tamaño.</w:t>
      </w:r>
    </w:p>
    <w:bookmarkEnd w:id="0"/>
    <w:p w:rsidR="00084F16" w:rsidRPr="00084F16" w:rsidRDefault="00084F16" w:rsidP="00084F16">
      <w:pPr>
        <w:spacing w:after="0" w:line="240" w:lineRule="auto"/>
      </w:pPr>
      <w:r w:rsidRPr="00084F16">
        <w:t xml:space="preserve">Es accesible por vía terrestre a </w:t>
      </w:r>
      <w:r w:rsidRPr="00084F16">
        <w:t>través</w:t>
      </w:r>
      <w:r w:rsidRPr="00084F16">
        <w:t xml:space="preserve"> de los caminos pertenecientes al proyecto minero El</w:t>
      </w:r>
    </w:p>
    <w:p w:rsidR="00084F16" w:rsidRPr="00084F16" w:rsidRDefault="00084F16" w:rsidP="00084F16">
      <w:pPr>
        <w:spacing w:after="0" w:line="240" w:lineRule="auto"/>
      </w:pPr>
      <w:r w:rsidRPr="00084F16">
        <w:t>Pachón</w:t>
      </w:r>
      <w:r w:rsidRPr="00084F16">
        <w:t>. La temporada de exploración empieza normalmente en noviembre y termina a</w:t>
      </w:r>
    </w:p>
    <w:p w:rsidR="00084F16" w:rsidRPr="00084F16" w:rsidRDefault="00084F16" w:rsidP="00084F16">
      <w:pPr>
        <w:spacing w:after="0" w:line="240" w:lineRule="auto"/>
      </w:pPr>
      <w:r w:rsidRPr="00084F16">
        <w:t>Finales</w:t>
      </w:r>
      <w:r w:rsidRPr="00084F16">
        <w:t xml:space="preserve"> de abril.</w:t>
      </w:r>
    </w:p>
    <w:p w:rsidR="00084F16" w:rsidRDefault="00084F16" w:rsidP="00084F16">
      <w:pPr>
        <w:spacing w:after="0" w:line="240" w:lineRule="auto"/>
      </w:pPr>
      <w:r w:rsidRPr="00084F16">
        <w:t xml:space="preserve">Desde su descubrimiento, se han realizado 140 perforaciones en el </w:t>
      </w:r>
      <w:r w:rsidRPr="00084F16">
        <w:t>área</w:t>
      </w:r>
      <w:r w:rsidRPr="00084F16">
        <w:t xml:space="preserve"> del proyecto</w:t>
      </w:r>
      <w:r>
        <w:t>.</w:t>
      </w:r>
    </w:p>
    <w:sectPr w:rsidR="00084F1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A19"/>
    <w:rsid w:val="00017CA5"/>
    <w:rsid w:val="00084F16"/>
    <w:rsid w:val="0054668E"/>
    <w:rsid w:val="005D5A19"/>
    <w:rsid w:val="00750F7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5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A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5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A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mp"/><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15996-4965-4F68-A063-5900E363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271</Words>
  <Characters>1491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2</cp:revision>
  <dcterms:created xsi:type="dcterms:W3CDTF">2022-09-26T11:23:00Z</dcterms:created>
  <dcterms:modified xsi:type="dcterms:W3CDTF">2022-09-26T11:53:00Z</dcterms:modified>
</cp:coreProperties>
</file>