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668F" w14:textId="77777777" w:rsidR="00BD28C8" w:rsidRPr="00BD28C8" w:rsidRDefault="00BD28C8" w:rsidP="00BD28C8">
      <w:pPr>
        <w:kinsoku w:val="0"/>
        <w:overflowPunct w:val="0"/>
        <w:autoSpaceDE w:val="0"/>
        <w:autoSpaceDN w:val="0"/>
        <w:adjustRightInd w:val="0"/>
        <w:spacing w:after="0" w:line="198" w:lineRule="exact"/>
        <w:ind w:left="600"/>
        <w:rPr>
          <w:rFonts w:ascii="Arial" w:hAnsi="Arial" w:cs="Arial"/>
          <w:b/>
          <w:bCs/>
          <w:color w:val="FFFFFF"/>
          <w:sz w:val="18"/>
          <w:szCs w:val="18"/>
        </w:rPr>
      </w:pPr>
      <w:r w:rsidRPr="00BD28C8">
        <w:rPr>
          <w:rFonts w:ascii="Arial" w:hAnsi="Arial" w:cs="Arial"/>
          <w:b/>
          <w:bCs/>
          <w:color w:val="FFFFFF"/>
          <w:sz w:val="18"/>
          <w:szCs w:val="18"/>
        </w:rPr>
        <w:t xml:space="preserve">TRASTORNOS: DESEQUILIBRIOS HOMEOSTÁTICOS </w:t>
      </w:r>
    </w:p>
    <w:p w14:paraId="49816419" w14:textId="77777777" w:rsidR="00BD28C8" w:rsidRPr="00BD28C8" w:rsidRDefault="00BD28C8" w:rsidP="00BD28C8">
      <w:pPr>
        <w:kinsoku w:val="0"/>
        <w:overflowPunct w:val="0"/>
        <w:autoSpaceDE w:val="0"/>
        <w:autoSpaceDN w:val="0"/>
        <w:adjustRightInd w:val="0"/>
        <w:spacing w:after="0" w:line="240" w:lineRule="auto"/>
        <w:rPr>
          <w:rFonts w:ascii="Arial" w:hAnsi="Arial" w:cs="Arial"/>
          <w:b/>
          <w:bCs/>
          <w:sz w:val="20"/>
          <w:szCs w:val="20"/>
        </w:rPr>
      </w:pPr>
    </w:p>
    <w:p w14:paraId="73F9D12F" w14:textId="77777777" w:rsidR="006F57C8" w:rsidRDefault="006F57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p>
    <w:p w14:paraId="5623682E" w14:textId="77777777" w:rsidR="006F57C8" w:rsidRDefault="006F57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p>
    <w:p w14:paraId="3ECE6D1C" w14:textId="77777777" w:rsidR="006F57C8" w:rsidRDefault="006F57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p>
    <w:p w14:paraId="7F00F360" w14:textId="77777777" w:rsidR="006F57C8" w:rsidRDefault="006F57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p>
    <w:p w14:paraId="3A7C0E3A" w14:textId="163F1336" w:rsidR="006F57C8" w:rsidRDefault="00BD28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r w:rsidRPr="00BD28C8">
        <w:rPr>
          <w:rFonts w:ascii="Arial" w:hAnsi="Arial" w:cs="Arial"/>
          <w:b/>
          <w:bCs/>
          <w:color w:val="6C7391"/>
          <w:sz w:val="20"/>
          <w:szCs w:val="20"/>
        </w:rPr>
        <w:t>Trastornos del aparato reproductor en el hombre</w:t>
      </w:r>
    </w:p>
    <w:p w14:paraId="0CD0B22C" w14:textId="77777777" w:rsidR="006F57C8" w:rsidRPr="00BD28C8" w:rsidRDefault="006F57C8" w:rsidP="00BD28C8">
      <w:pPr>
        <w:kinsoku w:val="0"/>
        <w:overflowPunct w:val="0"/>
        <w:autoSpaceDE w:val="0"/>
        <w:autoSpaceDN w:val="0"/>
        <w:adjustRightInd w:val="0"/>
        <w:spacing w:after="0" w:line="240" w:lineRule="auto"/>
        <w:outlineLvl w:val="0"/>
        <w:rPr>
          <w:rFonts w:ascii="Arial" w:hAnsi="Arial" w:cs="Arial"/>
          <w:b/>
          <w:bCs/>
          <w:color w:val="6C7391"/>
          <w:sz w:val="20"/>
          <w:szCs w:val="20"/>
        </w:rPr>
      </w:pPr>
    </w:p>
    <w:p w14:paraId="42F60B98" w14:textId="77777777" w:rsidR="00BD28C8" w:rsidRP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05"/>
          <w:sz w:val="20"/>
          <w:szCs w:val="20"/>
        </w:rPr>
      </w:pPr>
      <w:r w:rsidRPr="00BD28C8">
        <w:rPr>
          <w:rFonts w:ascii="Arial" w:hAnsi="Arial" w:cs="Arial"/>
          <w:b/>
          <w:bCs/>
          <w:i/>
          <w:iCs/>
          <w:color w:val="6C7391"/>
          <w:w w:val="105"/>
          <w:sz w:val="20"/>
          <w:szCs w:val="20"/>
        </w:rPr>
        <w:t>Cáncer de testículo</w:t>
      </w:r>
    </w:p>
    <w:p w14:paraId="74278F45" w14:textId="77777777" w:rsidR="00BD28C8" w:rsidRPr="00BD28C8" w:rsidRDefault="00BD28C8" w:rsidP="00BD28C8">
      <w:pPr>
        <w:kinsoku w:val="0"/>
        <w:overflowPunct w:val="0"/>
        <w:autoSpaceDE w:val="0"/>
        <w:autoSpaceDN w:val="0"/>
        <w:adjustRightInd w:val="0"/>
        <w:spacing w:before="10" w:after="0" w:line="240" w:lineRule="auto"/>
        <w:rPr>
          <w:rFonts w:ascii="Arial" w:hAnsi="Arial" w:cs="Arial"/>
          <w:b/>
          <w:bCs/>
          <w:i/>
          <w:iCs/>
          <w:sz w:val="20"/>
          <w:szCs w:val="20"/>
        </w:rPr>
      </w:pPr>
    </w:p>
    <w:p w14:paraId="2CB04E17" w14:textId="0EA756E0" w:rsidR="00BD28C8" w:rsidRDefault="00BD28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r w:rsidRPr="00BD28C8">
        <w:rPr>
          <w:rFonts w:ascii="Arial" w:hAnsi="Arial" w:cs="Arial"/>
          <w:color w:val="373535"/>
          <w:w w:val="105"/>
          <w:sz w:val="20"/>
          <w:szCs w:val="20"/>
        </w:rPr>
        <w:t xml:space="preserve">El </w:t>
      </w:r>
      <w:r w:rsidRPr="00BD28C8">
        <w:rPr>
          <w:rFonts w:ascii="Arial" w:hAnsi="Arial" w:cs="Arial"/>
          <w:b/>
          <w:bCs/>
          <w:color w:val="373535"/>
          <w:w w:val="105"/>
          <w:sz w:val="20"/>
          <w:szCs w:val="20"/>
        </w:rPr>
        <w:t xml:space="preserve">cáncer de testículo </w:t>
      </w:r>
      <w:r w:rsidRPr="00BD28C8">
        <w:rPr>
          <w:rFonts w:ascii="Arial" w:hAnsi="Arial" w:cs="Arial"/>
          <w:color w:val="373535"/>
          <w:w w:val="105"/>
          <w:sz w:val="20"/>
          <w:szCs w:val="20"/>
        </w:rPr>
        <w:t>es el cáncer más común en los hombres de entre 20 y 35 años. Más del 95% de los cánceres testiculares se originan en células espermatogénicas, dentro de los túbulos seminíferos. Un signo temprano de dicha patología es la aparición de una masa en el testículo, a menudo asociada con una sensación de peso o una molestia sorda en el abdomen inferior; habitualmente no produce dolor. Para aumentar las posibilidades de detección temprana del cáncer folicular, todos los hombres deberían realizarse autoexámenes regulares de los testículos, a partir de la adolescencia, y luego una vez al mes. Luego de un baño caliente o una ducha (cuando la piel del escroto está laxa y relajada) cada testículo deberá examinarse de la siguiente manera: debe tomarse el testículo y, con cuidado, se lo deja rodar por entre el dedo índice y el pulgar en busca de nódulos, dilataciones, durezas u otros cambios. Si se detecta un nódulo u otra alteración, se debe consultar al médico lo antes posible.</w:t>
      </w:r>
    </w:p>
    <w:p w14:paraId="44BC77C3" w14:textId="77777777" w:rsidR="006F57C8" w:rsidRPr="00BD28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02B0A44C" w14:textId="77777777" w:rsidR="00BD28C8" w:rsidRP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05"/>
          <w:sz w:val="20"/>
          <w:szCs w:val="20"/>
        </w:rPr>
      </w:pPr>
      <w:r w:rsidRPr="00BD28C8">
        <w:rPr>
          <w:rFonts w:ascii="Arial" w:hAnsi="Arial" w:cs="Arial"/>
          <w:b/>
          <w:bCs/>
          <w:i/>
          <w:iCs/>
          <w:color w:val="6C7391"/>
          <w:w w:val="105"/>
          <w:sz w:val="20"/>
          <w:szCs w:val="20"/>
        </w:rPr>
        <w:t>Alteraciones de la próstata</w:t>
      </w:r>
    </w:p>
    <w:p w14:paraId="4D9BA637" w14:textId="5365ABC1" w:rsidR="00BD28C8" w:rsidRPr="00BD28C8" w:rsidRDefault="00BD28C8" w:rsidP="00BD28C8">
      <w:pPr>
        <w:kinsoku w:val="0"/>
        <w:overflowPunct w:val="0"/>
        <w:autoSpaceDE w:val="0"/>
        <w:autoSpaceDN w:val="0"/>
        <w:adjustRightInd w:val="0"/>
        <w:spacing w:after="0"/>
        <w:jc w:val="both"/>
        <w:rPr>
          <w:rFonts w:ascii="Arial" w:hAnsi="Arial" w:cs="Arial"/>
          <w:color w:val="373535"/>
          <w:w w:val="105"/>
          <w:sz w:val="20"/>
          <w:szCs w:val="20"/>
        </w:rPr>
      </w:pPr>
      <w:r w:rsidRPr="00BD28C8">
        <w:rPr>
          <w:rFonts w:ascii="Arial" w:hAnsi="Arial" w:cs="Arial"/>
          <w:color w:val="373535"/>
          <w:w w:val="105"/>
          <w:sz w:val="20"/>
          <w:szCs w:val="20"/>
        </w:rPr>
        <w:t xml:space="preserve">Debido a que la próstata rodea parte de la uretra, cualquier agranda- miento o tumor puede obstruir el flujo urinario. Las infecciones agudas y crónicas de la próstata son comunes después de la pubertad, a menudo asociadas con inflamación de la uretra. Los síntomas pueden incluir fiebre, escalofríos, aumento de la frecuencia urinaria, micción frecuente durante la noche, dificultad para orinar, ardor o dolor al orinar, dolor en la zona lumbar, dolores articulares y musculares, sangre en la orina o eyaculación dolorosa. Sin embargo, puede no haber síntomas. La mayoría de los casos se producen por infección bacteriana y se tratan con antibióticos. En la </w:t>
      </w:r>
      <w:r w:rsidRPr="00BD28C8">
        <w:rPr>
          <w:rFonts w:ascii="Arial" w:hAnsi="Arial" w:cs="Arial"/>
          <w:b/>
          <w:bCs/>
          <w:color w:val="373535"/>
          <w:w w:val="105"/>
          <w:sz w:val="20"/>
          <w:szCs w:val="20"/>
        </w:rPr>
        <w:t>prostatitis aguda</w:t>
      </w:r>
      <w:r w:rsidRPr="00BD28C8">
        <w:rPr>
          <w:rFonts w:ascii="Arial" w:hAnsi="Arial" w:cs="Arial"/>
          <w:color w:val="373535"/>
          <w:w w:val="105"/>
          <w:sz w:val="20"/>
          <w:szCs w:val="20"/>
        </w:rPr>
        <w:t xml:space="preserve">, la próstata se inflama y es dolorosa a la palpación. La </w:t>
      </w:r>
      <w:r w:rsidRPr="00BD28C8">
        <w:rPr>
          <w:rFonts w:ascii="Arial" w:hAnsi="Arial" w:cs="Arial"/>
          <w:b/>
          <w:bCs/>
          <w:color w:val="373535"/>
          <w:w w:val="105"/>
          <w:sz w:val="20"/>
          <w:szCs w:val="20"/>
        </w:rPr>
        <w:t xml:space="preserve">prostatitis crónica </w:t>
      </w:r>
      <w:r w:rsidRPr="00BD28C8">
        <w:rPr>
          <w:rFonts w:ascii="Arial" w:hAnsi="Arial" w:cs="Arial"/>
          <w:color w:val="373535"/>
          <w:w w:val="105"/>
          <w:sz w:val="20"/>
          <w:szCs w:val="20"/>
        </w:rPr>
        <w:t>es una de las infeccio</w:t>
      </w:r>
      <w:r w:rsidR="006F57C8">
        <w:rPr>
          <w:rFonts w:ascii="Arial" w:hAnsi="Arial" w:cs="Arial"/>
          <w:color w:val="373535"/>
          <w:w w:val="105"/>
          <w:sz w:val="20"/>
          <w:szCs w:val="20"/>
        </w:rPr>
        <w:t>n</w:t>
      </w:r>
      <w:r w:rsidRPr="00BD28C8">
        <w:rPr>
          <w:rFonts w:ascii="Arial" w:hAnsi="Arial" w:cs="Arial"/>
          <w:color w:val="373535"/>
          <w:w w:val="105"/>
          <w:sz w:val="20"/>
          <w:szCs w:val="20"/>
        </w:rPr>
        <w:t>es crónicas más comunes en el hombre de edad mediana y en los mayores. En el examen, la próstata se palpa agrandada, blanda y muy dolorosa, con su superficie irregular.</w:t>
      </w:r>
    </w:p>
    <w:p w14:paraId="67446512" w14:textId="4FBBE7A0" w:rsidR="00BD28C8" w:rsidRPr="00BD28C8" w:rsidRDefault="00BD28C8" w:rsidP="00BD28C8">
      <w:pPr>
        <w:kinsoku w:val="0"/>
        <w:overflowPunct w:val="0"/>
        <w:autoSpaceDE w:val="0"/>
        <w:autoSpaceDN w:val="0"/>
        <w:adjustRightInd w:val="0"/>
        <w:spacing w:after="0"/>
        <w:jc w:val="both"/>
        <w:rPr>
          <w:rFonts w:ascii="Arial" w:hAnsi="Arial" w:cs="Arial"/>
          <w:color w:val="373535"/>
          <w:w w:val="105"/>
          <w:sz w:val="20"/>
          <w:szCs w:val="20"/>
        </w:rPr>
      </w:pPr>
      <w:r w:rsidRPr="00BD28C8">
        <w:rPr>
          <w:rFonts w:ascii="Arial" w:hAnsi="Arial" w:cs="Arial"/>
          <w:color w:val="373535"/>
          <w:w w:val="105"/>
          <w:sz w:val="20"/>
          <w:szCs w:val="20"/>
        </w:rPr>
        <w:t xml:space="preserve">El </w:t>
      </w:r>
      <w:r w:rsidRPr="00BD28C8">
        <w:rPr>
          <w:rFonts w:ascii="Arial" w:hAnsi="Arial" w:cs="Arial"/>
          <w:b/>
          <w:bCs/>
          <w:color w:val="373535"/>
          <w:w w:val="105"/>
          <w:sz w:val="20"/>
          <w:szCs w:val="20"/>
        </w:rPr>
        <w:t xml:space="preserve">cáncer de próstata </w:t>
      </w:r>
      <w:r w:rsidRPr="00BD28C8">
        <w:rPr>
          <w:rFonts w:ascii="Arial" w:hAnsi="Arial" w:cs="Arial"/>
          <w:color w:val="373535"/>
          <w:w w:val="105"/>
          <w:sz w:val="20"/>
          <w:szCs w:val="20"/>
        </w:rPr>
        <w:t>es la principal causa de muerte por cáncer entre los hombres de Estados Unidos; ha superado al cáncer de pulmón, en 1991. Cada año se diagnostica en casi 200 000 norteamericanos y causa alrededor de 40 000 muertes. Los niveles de PSA (antígeno prostático específico), que se produce únicamente en las células epiteliales prostáticas, aumenta con el crecimiento de la próstata y puede ser un indicador</w:t>
      </w:r>
      <w:r w:rsidR="006F57C8">
        <w:rPr>
          <w:rFonts w:ascii="Arial" w:hAnsi="Arial" w:cs="Arial"/>
          <w:color w:val="373535"/>
          <w:w w:val="105"/>
          <w:sz w:val="20"/>
          <w:szCs w:val="20"/>
        </w:rPr>
        <w:t xml:space="preserve"> </w:t>
      </w:r>
      <w:r w:rsidRPr="00BD28C8">
        <w:rPr>
          <w:rFonts w:ascii="Arial" w:hAnsi="Arial" w:cs="Arial"/>
          <w:color w:val="373535"/>
          <w:w w:val="105"/>
          <w:sz w:val="20"/>
          <w:szCs w:val="20"/>
        </w:rPr>
        <w:t xml:space="preserve">de infección, hiperplasia benigna o cáncer de próstata. Un análisis permite medir los niveles de PSA en sangre. Los hombres mayores de 40 años deberían realizarse un examen anual de la glándula prostática. En el </w:t>
      </w:r>
      <w:r w:rsidRPr="00BD28C8">
        <w:rPr>
          <w:rFonts w:ascii="Arial" w:hAnsi="Arial" w:cs="Arial"/>
          <w:b/>
          <w:bCs/>
          <w:color w:val="373535"/>
          <w:w w:val="105"/>
          <w:sz w:val="20"/>
          <w:szCs w:val="20"/>
        </w:rPr>
        <w:t>examen rectal digital (tacto rectal)</w:t>
      </w:r>
      <w:r w:rsidRPr="00BD28C8">
        <w:rPr>
          <w:rFonts w:ascii="Arial" w:hAnsi="Arial" w:cs="Arial"/>
          <w:color w:val="373535"/>
          <w:w w:val="105"/>
          <w:sz w:val="20"/>
          <w:szCs w:val="20"/>
        </w:rPr>
        <w:t>, el médico palpa la glándula a través del recto, con sus dedos. Muchos profesionales también reco- miendan un examen anual de PSA a los hombres mayores de 50 años. El tratamiento del cáncer de próstata incluye cirugía, crioterapia, radiación, terapia hormonal y quimioterapia. Como muchos cánceres de próstata crecen muy lentamente, algunos urólogos recomiendan una conducta expectante antes de tratar pequeños tumores en hombres mayores de 70 años.</w:t>
      </w:r>
    </w:p>
    <w:p w14:paraId="45E65342" w14:textId="77777777" w:rsidR="00BD28C8" w:rsidRPr="00BD28C8" w:rsidRDefault="00BD28C8" w:rsidP="00BD28C8">
      <w:pPr>
        <w:kinsoku w:val="0"/>
        <w:overflowPunct w:val="0"/>
        <w:autoSpaceDE w:val="0"/>
        <w:autoSpaceDN w:val="0"/>
        <w:adjustRightInd w:val="0"/>
        <w:spacing w:before="6" w:after="0" w:line="240" w:lineRule="auto"/>
        <w:rPr>
          <w:rFonts w:ascii="Arial" w:hAnsi="Arial" w:cs="Arial"/>
          <w:sz w:val="20"/>
          <w:szCs w:val="20"/>
        </w:rPr>
      </w:pPr>
    </w:p>
    <w:p w14:paraId="3014DE26" w14:textId="77777777" w:rsidR="00BD28C8" w:rsidRP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05"/>
          <w:sz w:val="20"/>
          <w:szCs w:val="20"/>
        </w:rPr>
      </w:pPr>
      <w:r w:rsidRPr="00BD28C8">
        <w:rPr>
          <w:rFonts w:ascii="Arial" w:hAnsi="Arial" w:cs="Arial"/>
          <w:b/>
          <w:bCs/>
          <w:i/>
          <w:iCs/>
          <w:color w:val="6C7391"/>
          <w:w w:val="105"/>
          <w:sz w:val="20"/>
          <w:szCs w:val="20"/>
        </w:rPr>
        <w:t>Disfunción eréctil</w:t>
      </w:r>
    </w:p>
    <w:p w14:paraId="581419A3" w14:textId="63573944" w:rsidR="00BD28C8" w:rsidRDefault="00BD28C8" w:rsidP="006F57C8">
      <w:pPr>
        <w:kinsoku w:val="0"/>
        <w:overflowPunct w:val="0"/>
        <w:autoSpaceDE w:val="0"/>
        <w:autoSpaceDN w:val="0"/>
        <w:adjustRightInd w:val="0"/>
        <w:spacing w:after="0" w:line="261" w:lineRule="auto"/>
        <w:ind w:right="2"/>
        <w:jc w:val="both"/>
        <w:rPr>
          <w:rFonts w:ascii="Arial" w:hAnsi="Arial" w:cs="Arial"/>
          <w:color w:val="373535"/>
          <w:w w:val="105"/>
          <w:sz w:val="20"/>
          <w:szCs w:val="20"/>
        </w:rPr>
      </w:pPr>
      <w:r w:rsidRPr="00BD28C8">
        <w:rPr>
          <w:rFonts w:ascii="Arial" w:hAnsi="Arial" w:cs="Arial"/>
          <w:color w:val="373535"/>
          <w:w w:val="105"/>
          <w:sz w:val="20"/>
          <w:szCs w:val="20"/>
        </w:rPr>
        <w:t xml:space="preserve">La </w:t>
      </w:r>
      <w:r w:rsidRPr="00BD28C8">
        <w:rPr>
          <w:rFonts w:ascii="Arial" w:hAnsi="Arial" w:cs="Arial"/>
          <w:b/>
          <w:bCs/>
          <w:color w:val="373535"/>
          <w:w w:val="105"/>
          <w:sz w:val="20"/>
          <w:szCs w:val="20"/>
        </w:rPr>
        <w:t>disfunción eréctil</w:t>
      </w:r>
      <w:r w:rsidRPr="00BD28C8">
        <w:rPr>
          <w:rFonts w:ascii="Arial" w:hAnsi="Arial" w:cs="Arial"/>
          <w:color w:val="373535"/>
          <w:w w:val="105"/>
          <w:sz w:val="20"/>
          <w:szCs w:val="20"/>
        </w:rPr>
        <w:t xml:space="preserve">, antes llamada </w:t>
      </w:r>
      <w:r w:rsidRPr="00BD28C8">
        <w:rPr>
          <w:rFonts w:ascii="Arial" w:hAnsi="Arial" w:cs="Arial"/>
          <w:i/>
          <w:iCs/>
          <w:color w:val="373535"/>
          <w:w w:val="105"/>
          <w:sz w:val="20"/>
          <w:szCs w:val="20"/>
        </w:rPr>
        <w:t>impotencia</w:t>
      </w:r>
      <w:r w:rsidRPr="00BD28C8">
        <w:rPr>
          <w:rFonts w:ascii="Arial" w:hAnsi="Arial" w:cs="Arial"/>
          <w:color w:val="373535"/>
          <w:w w:val="105"/>
          <w:sz w:val="20"/>
          <w:szCs w:val="20"/>
        </w:rPr>
        <w:t>, es la incapacidad constante de un hombre adulto para eyacular o alcanzar o sostener una erección por el tiempo suficiente para mantener relaciones sexuales. Muchos casos son causados por liberación insuficiente de óxido nítrico (NO), que relaja el músculo liso de las arteriolas del pene y el tejido eréctil. El fármaco sildenafil potencia la relajación del músculo liso por el óxido nítrico. Otras causas de la disfunción eréctil incluyen la diabetes mellitus, anomalías anatómicas del pene, trastornos sistémicos como la sífilis, alteraciones vasculares (obstrucciones arteriales o venosas), trastornos neurológicos, cirugía, deficiencia de testosterona y consumo de ciertos fármacos (alcohol, antidepresivos, antihistamínicos, antihipertensivos, narcóticos, nicotina y tranquilizantes). Ciertos factores psicológicos, como ansiedad y depresión, miedo de embarazar y temor a las enfermedades de transmisión sexual, inhibiciones religiosas e inmadurez emocional también pueden ser causa de disfunción eréctil.</w:t>
      </w:r>
    </w:p>
    <w:p w14:paraId="243CC071" w14:textId="77777777" w:rsidR="006F57C8" w:rsidRPr="00BD28C8" w:rsidRDefault="006F57C8" w:rsidP="006F57C8">
      <w:pPr>
        <w:kinsoku w:val="0"/>
        <w:overflowPunct w:val="0"/>
        <w:autoSpaceDE w:val="0"/>
        <w:autoSpaceDN w:val="0"/>
        <w:adjustRightInd w:val="0"/>
        <w:spacing w:after="0" w:line="261" w:lineRule="auto"/>
        <w:ind w:right="2"/>
        <w:jc w:val="both"/>
        <w:rPr>
          <w:rFonts w:ascii="Arial" w:hAnsi="Arial" w:cs="Arial"/>
          <w:color w:val="373535"/>
          <w:w w:val="105"/>
          <w:sz w:val="20"/>
          <w:szCs w:val="20"/>
        </w:rPr>
      </w:pPr>
    </w:p>
    <w:p w14:paraId="16285490" w14:textId="49AF879E" w:rsidR="00BD28C8" w:rsidRDefault="00BD28C8" w:rsidP="00BD28C8">
      <w:pPr>
        <w:kinsoku w:val="0"/>
        <w:overflowPunct w:val="0"/>
        <w:autoSpaceDE w:val="0"/>
        <w:autoSpaceDN w:val="0"/>
        <w:adjustRightInd w:val="0"/>
        <w:spacing w:after="0" w:line="240" w:lineRule="auto"/>
        <w:jc w:val="both"/>
        <w:outlineLvl w:val="0"/>
        <w:rPr>
          <w:rFonts w:ascii="Arial" w:hAnsi="Arial" w:cs="Arial"/>
          <w:b/>
          <w:bCs/>
          <w:color w:val="6C7391"/>
          <w:sz w:val="20"/>
          <w:szCs w:val="20"/>
        </w:rPr>
      </w:pPr>
      <w:r w:rsidRPr="00BD28C8">
        <w:rPr>
          <w:rFonts w:ascii="Arial" w:hAnsi="Arial" w:cs="Arial"/>
          <w:b/>
          <w:bCs/>
          <w:color w:val="6C7391"/>
          <w:sz w:val="20"/>
          <w:szCs w:val="20"/>
        </w:rPr>
        <w:t>Trastornos del aparato reproductor en la mujer</w:t>
      </w:r>
    </w:p>
    <w:p w14:paraId="6DF286B2" w14:textId="77777777" w:rsidR="006F57C8" w:rsidRPr="00BD28C8" w:rsidRDefault="006F57C8" w:rsidP="00BD28C8">
      <w:pPr>
        <w:kinsoku w:val="0"/>
        <w:overflowPunct w:val="0"/>
        <w:autoSpaceDE w:val="0"/>
        <w:autoSpaceDN w:val="0"/>
        <w:adjustRightInd w:val="0"/>
        <w:spacing w:after="0" w:line="240" w:lineRule="auto"/>
        <w:jc w:val="both"/>
        <w:outlineLvl w:val="0"/>
        <w:rPr>
          <w:rFonts w:ascii="Arial" w:hAnsi="Arial" w:cs="Arial"/>
          <w:b/>
          <w:bCs/>
          <w:color w:val="6C7391"/>
          <w:sz w:val="20"/>
          <w:szCs w:val="20"/>
        </w:rPr>
      </w:pPr>
    </w:p>
    <w:p w14:paraId="2440E3B1" w14:textId="0C2653C0" w:rsid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10"/>
          <w:sz w:val="20"/>
          <w:szCs w:val="20"/>
        </w:rPr>
      </w:pPr>
      <w:r w:rsidRPr="00BD28C8">
        <w:rPr>
          <w:rFonts w:ascii="Arial" w:hAnsi="Arial" w:cs="Arial"/>
          <w:b/>
          <w:bCs/>
          <w:i/>
          <w:iCs/>
          <w:color w:val="6C7391"/>
          <w:w w:val="110"/>
          <w:sz w:val="20"/>
          <w:szCs w:val="20"/>
        </w:rPr>
        <w:t>Síndrome premenstrual y trastorno disfórico premenstrual</w:t>
      </w:r>
    </w:p>
    <w:p w14:paraId="3567B49B" w14:textId="77777777" w:rsidR="006F57C8" w:rsidRPr="00BD28C8" w:rsidRDefault="006F57C8" w:rsidP="00BD28C8">
      <w:pPr>
        <w:kinsoku w:val="0"/>
        <w:overflowPunct w:val="0"/>
        <w:autoSpaceDE w:val="0"/>
        <w:autoSpaceDN w:val="0"/>
        <w:adjustRightInd w:val="0"/>
        <w:spacing w:after="0" w:line="240" w:lineRule="auto"/>
        <w:outlineLvl w:val="1"/>
        <w:rPr>
          <w:rFonts w:ascii="Arial" w:hAnsi="Arial" w:cs="Arial"/>
          <w:b/>
          <w:bCs/>
          <w:i/>
          <w:iCs/>
          <w:color w:val="6C7391"/>
          <w:w w:val="110"/>
          <w:sz w:val="20"/>
          <w:szCs w:val="20"/>
        </w:rPr>
      </w:pPr>
    </w:p>
    <w:p w14:paraId="686BCCCC" w14:textId="24B4E767" w:rsidR="00BD28C8" w:rsidRDefault="00BD28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r w:rsidRPr="00BD28C8">
        <w:rPr>
          <w:rFonts w:ascii="Arial" w:hAnsi="Arial" w:cs="Arial"/>
          <w:color w:val="373535"/>
          <w:w w:val="105"/>
          <w:sz w:val="20"/>
          <w:szCs w:val="20"/>
        </w:rPr>
        <w:t xml:space="preserve">El </w:t>
      </w:r>
      <w:r w:rsidRPr="00BD28C8">
        <w:rPr>
          <w:rFonts w:ascii="Arial" w:hAnsi="Arial" w:cs="Arial"/>
          <w:b/>
          <w:bCs/>
          <w:color w:val="373535"/>
          <w:w w:val="105"/>
          <w:sz w:val="20"/>
          <w:szCs w:val="20"/>
        </w:rPr>
        <w:t xml:space="preserve">síndrome premenstrual (SPM) </w:t>
      </w:r>
      <w:r w:rsidRPr="00BD28C8">
        <w:rPr>
          <w:rFonts w:ascii="Arial" w:hAnsi="Arial" w:cs="Arial"/>
          <w:color w:val="373535"/>
          <w:w w:val="105"/>
          <w:sz w:val="20"/>
          <w:szCs w:val="20"/>
        </w:rPr>
        <w:t>es un trastorno cíclico que cursa con intenso malestar físico y emocional. Aparece durante la fase posovulatoria (lútea) del ciclo reproductor femenino y desaparece brusca- mente cuando comienza la menstruación. Los signos y síntomas son muy variables de una mujer a otra. Pueden incluir edema, aumento de peso, turgencia y aumento de la sensibilidad en las mamas, distensión abdominal, dolor de espalda, dolores articulares, constipación, erupciones cutáneas, cansancio y sensación de letargo, mayor necesidad de dormir, depresión o ansiedad, irritabilidad, cambios de humor, cefaleas, mala coordinación, torpeza y deseo intenso de comer alimentos dulces o salados. La causa del síndrome premenstrual es desconocida. Para muchas mujeres, el ejercicio físico regular, evitar la cafeína, la sal, el alcohol y seguir una dieta rica en carbohidratos complejos y prote</w:t>
      </w:r>
      <w:r w:rsidR="006F57C8">
        <w:rPr>
          <w:rFonts w:ascii="Arial" w:hAnsi="Arial" w:cs="Arial"/>
          <w:color w:val="373535"/>
          <w:w w:val="105"/>
          <w:sz w:val="20"/>
          <w:szCs w:val="20"/>
        </w:rPr>
        <w:t>í</w:t>
      </w:r>
      <w:r w:rsidRPr="00BD28C8">
        <w:rPr>
          <w:rFonts w:ascii="Arial" w:hAnsi="Arial" w:cs="Arial"/>
          <w:color w:val="373535"/>
          <w:w w:val="105"/>
          <w:sz w:val="20"/>
          <w:szCs w:val="20"/>
        </w:rPr>
        <w:t>nas magras puede brindar un alivio considerable.</w:t>
      </w:r>
    </w:p>
    <w:p w14:paraId="4B1E1829" w14:textId="5C91AA25" w:rsidR="006F57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5B3931B2" w14:textId="3C3454DA" w:rsidR="006F57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3EA80B35" w14:textId="4FC2CC31" w:rsidR="006F57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7F2048C4" w14:textId="149486A9" w:rsidR="006F57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20FEB3D3" w14:textId="6645627E" w:rsidR="006F57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0EE0687F" w14:textId="77777777" w:rsidR="006F57C8" w:rsidRPr="00BD28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0A9CA39A" w14:textId="77777777" w:rsidR="00BD28C8" w:rsidRPr="00BD28C8" w:rsidRDefault="00BD28C8" w:rsidP="00BD28C8">
      <w:pPr>
        <w:kinsoku w:val="0"/>
        <w:overflowPunct w:val="0"/>
        <w:autoSpaceDE w:val="0"/>
        <w:autoSpaceDN w:val="0"/>
        <w:adjustRightInd w:val="0"/>
        <w:spacing w:after="0" w:line="176" w:lineRule="exact"/>
        <w:rPr>
          <w:rFonts w:ascii="Arial" w:hAnsi="Arial" w:cs="Arial"/>
          <w:color w:val="373535"/>
          <w:sz w:val="20"/>
          <w:szCs w:val="20"/>
        </w:rPr>
      </w:pPr>
      <w:r w:rsidRPr="00BD28C8">
        <w:rPr>
          <w:rFonts w:ascii="Arial" w:hAnsi="Arial" w:cs="Arial"/>
          <w:color w:val="373535"/>
          <w:sz w:val="20"/>
          <w:szCs w:val="20"/>
        </w:rPr>
        <w:t xml:space="preserve">El </w:t>
      </w:r>
      <w:r w:rsidRPr="00BD28C8">
        <w:rPr>
          <w:rFonts w:ascii="Arial" w:hAnsi="Arial" w:cs="Arial"/>
          <w:b/>
          <w:bCs/>
          <w:color w:val="373535"/>
          <w:sz w:val="20"/>
          <w:szCs w:val="20"/>
        </w:rPr>
        <w:t xml:space="preserve">trastorno disfórico premenstrual (TDPM) </w:t>
      </w:r>
      <w:r w:rsidRPr="00BD28C8">
        <w:rPr>
          <w:rFonts w:ascii="Arial" w:hAnsi="Arial" w:cs="Arial"/>
          <w:color w:val="373535"/>
          <w:sz w:val="20"/>
          <w:szCs w:val="20"/>
        </w:rPr>
        <w:t>es un síndrome de</w:t>
      </w:r>
    </w:p>
    <w:p w14:paraId="363CF73B" w14:textId="344A5FC7" w:rsidR="00BD28C8" w:rsidRDefault="00BD28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r w:rsidRPr="00BD28C8">
        <w:rPr>
          <w:rFonts w:ascii="Arial" w:hAnsi="Arial" w:cs="Arial"/>
          <w:color w:val="373535"/>
          <w:w w:val="105"/>
          <w:sz w:val="20"/>
          <w:szCs w:val="20"/>
        </w:rPr>
        <w:t>mayor gravedad, en el cual los signos y síntomas del síndrome pre- menstrual no desaparecen con el comienzo de la menstruación. En estudios de investigación clínica se halló que la supresión del ciclo reproductivo por medio de un fármaco que interfiere con la GnRh (leuprolide) disminuye significativamente los síntomas. Debido a que los síntomas reaparecen cuando se administran estradiol o progesterona junto con el leuprolide, los investigadores sugieren que el trastorno disfórico premenstrual es causado por una respuesta anómala a los niveles normales de estas hormonas ováricas. Los inhibidores selectivos de la recaptación de serotonina han mostrado resultados prometedores en el tratamiento, tanto del síndrome premenstrual como del tras- torno disfórico premenstrual.</w:t>
      </w:r>
    </w:p>
    <w:p w14:paraId="24491B81" w14:textId="77777777" w:rsidR="006F57C8" w:rsidRPr="00BD28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5BE55352" w14:textId="77777777" w:rsidR="00BD28C8" w:rsidRP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10"/>
          <w:sz w:val="20"/>
          <w:szCs w:val="20"/>
        </w:rPr>
      </w:pPr>
      <w:r w:rsidRPr="00BD28C8">
        <w:rPr>
          <w:rFonts w:ascii="Arial" w:hAnsi="Arial" w:cs="Arial"/>
          <w:b/>
          <w:bCs/>
          <w:i/>
          <w:iCs/>
          <w:color w:val="6C7391"/>
          <w:w w:val="110"/>
          <w:sz w:val="20"/>
          <w:szCs w:val="20"/>
        </w:rPr>
        <w:t>Endometriosis</w:t>
      </w:r>
    </w:p>
    <w:p w14:paraId="07BA562C" w14:textId="4AB19A19" w:rsidR="00BD28C8" w:rsidRDefault="00BD28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r w:rsidRPr="00BD28C8">
        <w:rPr>
          <w:rFonts w:ascii="Arial" w:hAnsi="Arial" w:cs="Arial"/>
          <w:color w:val="373535"/>
          <w:w w:val="105"/>
          <w:sz w:val="20"/>
          <w:szCs w:val="20"/>
        </w:rPr>
        <w:t xml:space="preserve">La </w:t>
      </w:r>
      <w:r w:rsidRPr="00BD28C8">
        <w:rPr>
          <w:rFonts w:ascii="Arial" w:hAnsi="Arial" w:cs="Arial"/>
          <w:b/>
          <w:bCs/>
          <w:color w:val="373535"/>
          <w:w w:val="105"/>
          <w:sz w:val="20"/>
          <w:szCs w:val="20"/>
        </w:rPr>
        <w:t xml:space="preserve">endometriosis </w:t>
      </w:r>
      <w:r w:rsidRPr="00BD28C8">
        <w:rPr>
          <w:rFonts w:ascii="Arial" w:hAnsi="Arial" w:cs="Arial"/>
          <w:color w:val="373535"/>
          <w:w w:val="105"/>
          <w:sz w:val="20"/>
          <w:szCs w:val="20"/>
        </w:rPr>
        <w:t>(</w:t>
      </w:r>
      <w:r w:rsidRPr="00BD28C8">
        <w:rPr>
          <w:rFonts w:ascii="Arial" w:hAnsi="Arial" w:cs="Arial"/>
          <w:i/>
          <w:iCs/>
          <w:color w:val="373535"/>
          <w:w w:val="105"/>
          <w:sz w:val="20"/>
          <w:szCs w:val="20"/>
        </w:rPr>
        <w:t>éndon-</w:t>
      </w:r>
      <w:r w:rsidRPr="00BD28C8">
        <w:rPr>
          <w:rFonts w:ascii="Arial" w:hAnsi="Arial" w:cs="Arial"/>
          <w:color w:val="373535"/>
          <w:w w:val="105"/>
          <w:sz w:val="20"/>
          <w:szCs w:val="20"/>
        </w:rPr>
        <w:t>, dentro; -</w:t>
      </w:r>
      <w:r w:rsidRPr="00BD28C8">
        <w:rPr>
          <w:rFonts w:ascii="Arial" w:hAnsi="Arial" w:cs="Arial"/>
          <w:i/>
          <w:iCs/>
          <w:color w:val="373535"/>
          <w:w w:val="105"/>
          <w:sz w:val="20"/>
          <w:szCs w:val="20"/>
        </w:rPr>
        <w:t>métra</w:t>
      </w:r>
      <w:r w:rsidRPr="00BD28C8">
        <w:rPr>
          <w:rFonts w:ascii="Arial" w:hAnsi="Arial" w:cs="Arial"/>
          <w:color w:val="373535"/>
          <w:w w:val="105"/>
          <w:sz w:val="20"/>
          <w:szCs w:val="20"/>
        </w:rPr>
        <w:t>, útero; y -</w:t>
      </w:r>
      <w:r w:rsidRPr="00BD28C8">
        <w:rPr>
          <w:rFonts w:ascii="Arial" w:hAnsi="Arial" w:cs="Arial"/>
          <w:i/>
          <w:iCs/>
          <w:color w:val="373535"/>
          <w:w w:val="105"/>
          <w:sz w:val="20"/>
          <w:szCs w:val="20"/>
        </w:rPr>
        <w:t>osis</w:t>
      </w:r>
      <w:r w:rsidRPr="00BD28C8">
        <w:rPr>
          <w:rFonts w:ascii="Arial" w:hAnsi="Arial" w:cs="Arial"/>
          <w:color w:val="373535"/>
          <w:w w:val="105"/>
          <w:sz w:val="20"/>
          <w:szCs w:val="20"/>
        </w:rPr>
        <w:t>, proceso o estado) se caracteriza por el crecimiento de tejido endometrial fuera del útero. Este tejido ingresa en la cavidad pelviana por medio de las trompas uterinas y puede encontrarse en sitios muy diversos (en los ovarios, el fondo de saco rectouterino, la superficie externa del útero, el colon sigmoides, los ganglios linfáticos pelvianos y abdominales, el cuello uterino, la pared abdominal, los riñones y la vejiga urinaria). El tejido endometrial responde a las fluctuaciones hormonales, dentro y fuera del útero. Con cada ciclo reproductivo, el tejido prolifera y luego se desintegra y sangra. Cuando esto ocurre fuera del útero, puede causar inflamación, dolor, cicatrizaciones e infertilidad. Los síntomas son dolores premenstruales o menstruales inusualmente intensos.</w:t>
      </w:r>
    </w:p>
    <w:p w14:paraId="0EAE0CC8" w14:textId="77777777" w:rsidR="006F57C8" w:rsidRPr="00BD28C8" w:rsidRDefault="006F57C8" w:rsidP="00BD28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1288803F" w14:textId="77777777" w:rsidR="00BD28C8" w:rsidRPr="00BD28C8" w:rsidRDefault="00BD28C8" w:rsidP="00BD28C8">
      <w:pPr>
        <w:kinsoku w:val="0"/>
        <w:overflowPunct w:val="0"/>
        <w:autoSpaceDE w:val="0"/>
        <w:autoSpaceDN w:val="0"/>
        <w:adjustRightInd w:val="0"/>
        <w:spacing w:after="0" w:line="240" w:lineRule="auto"/>
        <w:outlineLvl w:val="1"/>
        <w:rPr>
          <w:rFonts w:ascii="Arial" w:hAnsi="Arial" w:cs="Arial"/>
          <w:b/>
          <w:bCs/>
          <w:i/>
          <w:iCs/>
          <w:color w:val="6C7391"/>
          <w:w w:val="105"/>
          <w:sz w:val="20"/>
          <w:szCs w:val="20"/>
        </w:rPr>
      </w:pPr>
      <w:r w:rsidRPr="00BD28C8">
        <w:rPr>
          <w:rFonts w:ascii="Arial" w:hAnsi="Arial" w:cs="Arial"/>
          <w:b/>
          <w:bCs/>
          <w:i/>
          <w:iCs/>
          <w:color w:val="6C7391"/>
          <w:w w:val="105"/>
          <w:sz w:val="20"/>
          <w:szCs w:val="20"/>
        </w:rPr>
        <w:t>Cáncer de mama</w:t>
      </w:r>
    </w:p>
    <w:p w14:paraId="0978B5DB" w14:textId="130C6E56" w:rsidR="006F57C8" w:rsidRPr="006F57C8" w:rsidRDefault="00BD28C8" w:rsidP="006F57C8">
      <w:pPr>
        <w:kinsoku w:val="0"/>
        <w:overflowPunct w:val="0"/>
        <w:autoSpaceDE w:val="0"/>
        <w:autoSpaceDN w:val="0"/>
        <w:adjustRightInd w:val="0"/>
        <w:spacing w:after="0"/>
        <w:jc w:val="both"/>
        <w:rPr>
          <w:rFonts w:ascii="Arial" w:hAnsi="Arial" w:cs="Arial"/>
          <w:color w:val="373535"/>
          <w:w w:val="105"/>
          <w:sz w:val="20"/>
          <w:szCs w:val="20"/>
        </w:rPr>
      </w:pPr>
      <w:r w:rsidRPr="00BD28C8">
        <w:rPr>
          <w:rFonts w:ascii="Arial" w:hAnsi="Arial" w:cs="Arial"/>
          <w:color w:val="373535"/>
          <w:w w:val="105"/>
          <w:sz w:val="20"/>
          <w:szCs w:val="20"/>
        </w:rPr>
        <w:t xml:space="preserve">Una de cada ocho mujeres en los Estados Unidos tiene posibilidades de padecer un </w:t>
      </w:r>
      <w:r w:rsidRPr="00BD28C8">
        <w:rPr>
          <w:rFonts w:ascii="Arial" w:hAnsi="Arial" w:cs="Arial"/>
          <w:b/>
          <w:bCs/>
          <w:color w:val="373535"/>
          <w:w w:val="105"/>
          <w:sz w:val="20"/>
          <w:szCs w:val="20"/>
        </w:rPr>
        <w:t>cáncer de mama</w:t>
      </w:r>
      <w:r w:rsidRPr="00BD28C8">
        <w:rPr>
          <w:rFonts w:ascii="Arial" w:hAnsi="Arial" w:cs="Arial"/>
          <w:color w:val="373535"/>
          <w:w w:val="105"/>
          <w:sz w:val="20"/>
          <w:szCs w:val="20"/>
        </w:rPr>
        <w:t>. Después del cáncer de pulmón, es la segunda causa de muerte por cáncer en las mujeres norteamericanas. El cáncer de mama puede presentarse en hombres, pero es raro. Entre las mujeres, no suele observarse antes de los 30 años; su incidencia se eleva rápidamente luego de la menopausia. Se estima que el 5% de los 180 000 casos diagnosticados cada año en los Estados Unidos, sobre todo aquellos que se producen en mujeres más jóvenes, se originan a partir de mutaciones genéticas heredadas (cambios en el ADN). Los investigadores han identificado dos genes que aumentan la susceptibi</w:t>
      </w:r>
      <w:r w:rsidR="006F57C8" w:rsidRPr="006F57C8">
        <w:rPr>
          <w:rFonts w:ascii="Arial" w:hAnsi="Arial" w:cs="Arial"/>
          <w:color w:val="373535"/>
          <w:sz w:val="20"/>
          <w:szCs w:val="20"/>
        </w:rPr>
        <w:t xml:space="preserve">lidad al cáncer de mama: </w:t>
      </w:r>
      <w:r w:rsidR="006F57C8" w:rsidRPr="006F57C8">
        <w:rPr>
          <w:rFonts w:ascii="Arial" w:hAnsi="Arial" w:cs="Arial"/>
          <w:i/>
          <w:iCs/>
          <w:color w:val="373535"/>
          <w:sz w:val="20"/>
          <w:szCs w:val="20"/>
        </w:rPr>
        <w:t xml:space="preserve">BCRA1 </w:t>
      </w:r>
      <w:r w:rsidR="006F57C8" w:rsidRPr="006F57C8">
        <w:rPr>
          <w:rFonts w:ascii="Arial" w:hAnsi="Arial" w:cs="Arial"/>
          <w:color w:val="373535"/>
          <w:sz w:val="20"/>
          <w:szCs w:val="20"/>
        </w:rPr>
        <w:t xml:space="preserve">(del inglés </w:t>
      </w:r>
      <w:r w:rsidR="006F57C8" w:rsidRPr="006F57C8">
        <w:rPr>
          <w:rFonts w:ascii="Arial" w:hAnsi="Arial" w:cs="Arial"/>
          <w:i/>
          <w:iCs/>
          <w:color w:val="373535"/>
          <w:sz w:val="20"/>
          <w:szCs w:val="20"/>
        </w:rPr>
        <w:t xml:space="preserve">breast </w:t>
      </w:r>
      <w:r w:rsidR="006F57C8" w:rsidRPr="006F57C8">
        <w:rPr>
          <w:rFonts w:ascii="Arial" w:hAnsi="Arial" w:cs="Arial"/>
          <w:i/>
          <w:iCs/>
          <w:color w:val="373535"/>
          <w:sz w:val="20"/>
          <w:szCs w:val="20"/>
        </w:rPr>
        <w:t>cáncer</w:t>
      </w:r>
      <w:r w:rsidR="006F57C8" w:rsidRPr="006F57C8">
        <w:rPr>
          <w:rFonts w:ascii="Arial" w:hAnsi="Arial" w:cs="Arial"/>
          <w:i/>
          <w:iCs/>
          <w:color w:val="373535"/>
          <w:sz w:val="20"/>
          <w:szCs w:val="20"/>
        </w:rPr>
        <w:t xml:space="preserve"> </w:t>
      </w:r>
      <w:r w:rsidR="006F57C8" w:rsidRPr="006F57C8">
        <w:rPr>
          <w:rFonts w:ascii="Arial" w:hAnsi="Arial" w:cs="Arial"/>
          <w:color w:val="373535"/>
          <w:sz w:val="20"/>
          <w:szCs w:val="20"/>
        </w:rPr>
        <w:t>1; cáncer de</w:t>
      </w:r>
      <w:r w:rsidR="006F57C8">
        <w:rPr>
          <w:rFonts w:ascii="Arial" w:hAnsi="Arial" w:cs="Arial"/>
          <w:color w:val="373535"/>
          <w:w w:val="105"/>
          <w:sz w:val="20"/>
          <w:szCs w:val="20"/>
        </w:rPr>
        <w:t xml:space="preserve"> </w:t>
      </w:r>
      <w:r w:rsidR="006F57C8" w:rsidRPr="006F57C8">
        <w:rPr>
          <w:rFonts w:ascii="Arial" w:hAnsi="Arial" w:cs="Arial"/>
          <w:color w:val="373535"/>
          <w:w w:val="110"/>
          <w:sz w:val="20"/>
          <w:szCs w:val="20"/>
        </w:rPr>
        <w:t xml:space="preserve">mama 1) y </w:t>
      </w:r>
      <w:r w:rsidR="006F57C8" w:rsidRPr="006F57C8">
        <w:rPr>
          <w:rFonts w:ascii="Arial" w:hAnsi="Arial" w:cs="Arial"/>
          <w:i/>
          <w:iCs/>
          <w:color w:val="373535"/>
          <w:w w:val="110"/>
          <w:sz w:val="20"/>
          <w:szCs w:val="20"/>
        </w:rPr>
        <w:t>BCRA2</w:t>
      </w:r>
      <w:r w:rsidR="006F57C8" w:rsidRPr="006F57C8">
        <w:rPr>
          <w:rFonts w:ascii="Arial" w:hAnsi="Arial" w:cs="Arial"/>
          <w:color w:val="373535"/>
          <w:w w:val="110"/>
          <w:sz w:val="20"/>
          <w:szCs w:val="20"/>
        </w:rPr>
        <w:t xml:space="preserve">. La mutación de </w:t>
      </w:r>
      <w:r w:rsidR="006F57C8" w:rsidRPr="006F57C8">
        <w:rPr>
          <w:rFonts w:ascii="Arial" w:hAnsi="Arial" w:cs="Arial"/>
          <w:i/>
          <w:iCs/>
          <w:color w:val="373535"/>
          <w:w w:val="110"/>
          <w:sz w:val="20"/>
          <w:szCs w:val="20"/>
        </w:rPr>
        <w:t xml:space="preserve">BCRA1 </w:t>
      </w:r>
      <w:r w:rsidR="006F57C8" w:rsidRPr="006F57C8">
        <w:rPr>
          <w:rFonts w:ascii="Arial" w:hAnsi="Arial" w:cs="Arial"/>
          <w:color w:val="373535"/>
          <w:w w:val="110"/>
          <w:sz w:val="20"/>
          <w:szCs w:val="20"/>
        </w:rPr>
        <w:t xml:space="preserve">también conlleva un alto riesgo de padecer cáncer de ovario. A su vez, las mutaciones del gen </w:t>
      </w:r>
      <w:r w:rsidR="006F57C8" w:rsidRPr="006F57C8">
        <w:rPr>
          <w:rFonts w:ascii="Arial" w:hAnsi="Arial" w:cs="Arial"/>
          <w:i/>
          <w:iCs/>
          <w:color w:val="373535"/>
          <w:w w:val="110"/>
          <w:sz w:val="20"/>
          <w:szCs w:val="20"/>
        </w:rPr>
        <w:t xml:space="preserve">p53 </w:t>
      </w:r>
      <w:r w:rsidR="006F57C8" w:rsidRPr="006F57C8">
        <w:rPr>
          <w:rFonts w:ascii="Arial" w:hAnsi="Arial" w:cs="Arial"/>
          <w:color w:val="373535"/>
          <w:w w:val="110"/>
          <w:sz w:val="20"/>
          <w:szCs w:val="20"/>
        </w:rPr>
        <w:t>incrementan el riesgo de cáncer de mama, tanto en hombres como en mujeres, y las mutaciones en el gen que codifica el receptor de andrógenos se asocian con la aparición de cáncer de mama en algunos hombres. Debido a que el cáncer de mama, en general, no resulta dolo- roso hasta que alcanza estadios avanzados, cualquier nódulo, sin importar cuán pequeño sea, debe ser informado inmediatamente al médico. La detección temprana por autoexamen de mamas y mamo- grafías es la mejor manera de aumentar las posibilidades de supervivencia.</w:t>
      </w:r>
    </w:p>
    <w:p w14:paraId="76E550E5" w14:textId="526FB0C8" w:rsidR="006F57C8" w:rsidRPr="006F57C8" w:rsidRDefault="006F57C8" w:rsidP="006F57C8">
      <w:pPr>
        <w:kinsoku w:val="0"/>
        <w:overflowPunct w:val="0"/>
        <w:autoSpaceDE w:val="0"/>
        <w:autoSpaceDN w:val="0"/>
        <w:adjustRightInd w:val="0"/>
        <w:spacing w:after="0"/>
        <w:jc w:val="both"/>
        <w:rPr>
          <w:rFonts w:ascii="Arial" w:hAnsi="Arial" w:cs="Arial"/>
          <w:color w:val="373535"/>
          <w:w w:val="105"/>
          <w:sz w:val="20"/>
          <w:szCs w:val="20"/>
        </w:rPr>
      </w:pPr>
      <w:r w:rsidRPr="006F57C8">
        <w:rPr>
          <w:rFonts w:ascii="Arial" w:hAnsi="Arial" w:cs="Arial"/>
          <w:color w:val="373535"/>
          <w:w w:val="105"/>
          <w:sz w:val="20"/>
          <w:szCs w:val="20"/>
        </w:rPr>
        <w:t xml:space="preserve">La técnica más efectiva para la detección de tumores con menos de 1 cm de diámetro es la </w:t>
      </w:r>
      <w:r w:rsidRPr="006F57C8">
        <w:rPr>
          <w:rFonts w:ascii="Arial" w:hAnsi="Arial" w:cs="Arial"/>
          <w:b/>
          <w:bCs/>
          <w:color w:val="373535"/>
          <w:w w:val="105"/>
          <w:sz w:val="20"/>
          <w:szCs w:val="20"/>
        </w:rPr>
        <w:t xml:space="preserve">mamografía </w:t>
      </w:r>
      <w:r w:rsidRPr="006F57C8">
        <w:rPr>
          <w:rFonts w:ascii="Arial" w:hAnsi="Arial" w:cs="Arial"/>
          <w:color w:val="373535"/>
          <w:w w:val="105"/>
          <w:sz w:val="20"/>
          <w:szCs w:val="20"/>
        </w:rPr>
        <w:t>(</w:t>
      </w:r>
      <w:r w:rsidRPr="006F57C8">
        <w:rPr>
          <w:rFonts w:ascii="Arial" w:hAnsi="Arial" w:cs="Arial"/>
          <w:i/>
          <w:iCs/>
          <w:color w:val="373535"/>
          <w:w w:val="105"/>
          <w:sz w:val="20"/>
          <w:szCs w:val="20"/>
        </w:rPr>
        <w:t>graphée-</w:t>
      </w:r>
      <w:r w:rsidRPr="006F57C8">
        <w:rPr>
          <w:rFonts w:ascii="Arial" w:hAnsi="Arial" w:cs="Arial"/>
          <w:color w:val="373535"/>
          <w:w w:val="105"/>
          <w:sz w:val="20"/>
          <w:szCs w:val="20"/>
        </w:rPr>
        <w:t xml:space="preserve">, registro), un tipo de radiografía en la cual se utiliza una película radiográfica muy sensible. La imagen de la mama, llamada </w:t>
      </w:r>
      <w:r w:rsidRPr="006F57C8">
        <w:rPr>
          <w:rFonts w:ascii="Arial" w:hAnsi="Arial" w:cs="Arial"/>
          <w:b/>
          <w:bCs/>
          <w:color w:val="373535"/>
          <w:w w:val="105"/>
          <w:sz w:val="20"/>
          <w:szCs w:val="20"/>
        </w:rPr>
        <w:t xml:space="preserve">mamografía </w:t>
      </w:r>
      <w:r w:rsidRPr="006F57C8">
        <w:rPr>
          <w:rFonts w:ascii="Arial" w:hAnsi="Arial" w:cs="Arial"/>
          <w:color w:val="373535"/>
          <w:w w:val="105"/>
          <w:sz w:val="20"/>
          <w:szCs w:val="20"/>
        </w:rPr>
        <w:t xml:space="preserve">(véase el </w:t>
      </w:r>
      <w:r w:rsidRPr="006F57C8">
        <w:rPr>
          <w:rFonts w:ascii="Arial" w:hAnsi="Arial" w:cs="Arial"/>
          <w:color w:val="EF603E"/>
          <w:w w:val="105"/>
          <w:sz w:val="20"/>
          <w:szCs w:val="20"/>
        </w:rPr>
        <w:t>Cuadro 1.3</w:t>
      </w:r>
      <w:r w:rsidRPr="006F57C8">
        <w:rPr>
          <w:rFonts w:ascii="Arial" w:hAnsi="Arial" w:cs="Arial"/>
          <w:color w:val="373535"/>
          <w:w w:val="105"/>
          <w:sz w:val="20"/>
          <w:szCs w:val="20"/>
        </w:rPr>
        <w:t xml:space="preserve">), se obtiene mejor si se comprimen las mamas, una a la vez, utilizando dos placas horizontales. Un método auxiliar para evaluar las </w:t>
      </w:r>
      <w:r w:rsidRPr="006F57C8">
        <w:rPr>
          <w:rFonts w:ascii="Arial" w:hAnsi="Arial" w:cs="Arial"/>
          <w:color w:val="373535"/>
          <w:w w:val="105"/>
          <w:sz w:val="20"/>
          <w:szCs w:val="20"/>
        </w:rPr>
        <w:t>anomalías</w:t>
      </w:r>
      <w:r w:rsidRPr="006F57C8">
        <w:rPr>
          <w:rFonts w:ascii="Arial" w:hAnsi="Arial" w:cs="Arial"/>
          <w:color w:val="373535"/>
          <w:w w:val="105"/>
          <w:sz w:val="20"/>
          <w:szCs w:val="20"/>
        </w:rPr>
        <w:t xml:space="preserve"> en las mamas es la ecografía. A pesar de que la ecografía no puede detectar formaciones que miden menos de 1 cm de diámetro (que sí se pue- den detectarse con la mamografía), puede utilizarse para determinar si un tumor es benigno, un quiste lleno de líquido o un tumor sólido (y posiblemente maligno).</w:t>
      </w:r>
    </w:p>
    <w:p w14:paraId="565D6630" w14:textId="77777777" w:rsidR="006F57C8" w:rsidRP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Entre los factores que aumentan el riesgo de cáncer de mama se encuentran: 1) antecedentes personales de cáncer de mama, especial- mente en madre o hermanas, 2) nuliparidad (nunca haber dado a luz) o haber tenido el primer hijo luego de los 35 años, 3) cáncer previo en una mama, 4) exposición a radiaciones ionizantes, como rayos X,</w:t>
      </w:r>
    </w:p>
    <w:p w14:paraId="58262929" w14:textId="77777777" w:rsidR="006F57C8" w:rsidRPr="006F57C8" w:rsidRDefault="006F57C8" w:rsidP="006F57C8">
      <w:pPr>
        <w:kinsoku w:val="0"/>
        <w:overflowPunct w:val="0"/>
        <w:autoSpaceDE w:val="0"/>
        <w:autoSpaceDN w:val="0"/>
        <w:adjustRightInd w:val="0"/>
        <w:spacing w:after="0" w:line="181" w:lineRule="exact"/>
        <w:jc w:val="both"/>
        <w:rPr>
          <w:rFonts w:ascii="Arial" w:hAnsi="Arial" w:cs="Arial"/>
          <w:color w:val="373535"/>
          <w:w w:val="105"/>
          <w:sz w:val="20"/>
          <w:szCs w:val="20"/>
        </w:rPr>
      </w:pPr>
      <w:r w:rsidRPr="006F57C8">
        <w:rPr>
          <w:rFonts w:ascii="Arial" w:hAnsi="Arial" w:cs="Arial"/>
          <w:color w:val="373535"/>
          <w:w w:val="105"/>
          <w:sz w:val="20"/>
          <w:szCs w:val="20"/>
        </w:rPr>
        <w:t>5) ingesta excesiva de alcohol, y 6) tabaquismo.</w:t>
      </w:r>
    </w:p>
    <w:p w14:paraId="4B05EF0C" w14:textId="539AF263" w:rsidR="006F57C8" w:rsidRPr="006F57C8" w:rsidRDefault="006F57C8" w:rsidP="006F57C8">
      <w:pPr>
        <w:kinsoku w:val="0"/>
        <w:overflowPunct w:val="0"/>
        <w:autoSpaceDE w:val="0"/>
        <w:autoSpaceDN w:val="0"/>
        <w:adjustRightInd w:val="0"/>
        <w:spacing w:after="0"/>
        <w:ind w:right="1"/>
        <w:jc w:val="both"/>
        <w:rPr>
          <w:rFonts w:ascii="Arial" w:hAnsi="Arial" w:cs="Arial"/>
          <w:color w:val="373535"/>
          <w:w w:val="105"/>
          <w:sz w:val="20"/>
          <w:szCs w:val="20"/>
        </w:rPr>
      </w:pPr>
      <w:r w:rsidRPr="006F57C8">
        <w:rPr>
          <w:rFonts w:ascii="Arial" w:hAnsi="Arial" w:cs="Arial"/>
          <w:color w:val="373535"/>
          <w:w w:val="105"/>
          <w:sz w:val="20"/>
          <w:szCs w:val="20"/>
        </w:rPr>
        <w:t xml:space="preserve">La </w:t>
      </w:r>
      <w:r w:rsidRPr="006F57C8">
        <w:rPr>
          <w:rFonts w:ascii="Arial" w:hAnsi="Arial" w:cs="Arial"/>
          <w:i/>
          <w:iCs/>
          <w:color w:val="373535"/>
          <w:w w:val="105"/>
          <w:sz w:val="20"/>
          <w:szCs w:val="20"/>
        </w:rPr>
        <w:t xml:space="preserve">American </w:t>
      </w:r>
      <w:r w:rsidRPr="006F57C8">
        <w:rPr>
          <w:rFonts w:ascii="Arial" w:hAnsi="Arial" w:cs="Arial"/>
          <w:i/>
          <w:iCs/>
          <w:color w:val="373535"/>
          <w:w w:val="105"/>
          <w:sz w:val="20"/>
          <w:szCs w:val="20"/>
        </w:rPr>
        <w:t>Cáncer</w:t>
      </w:r>
      <w:r w:rsidRPr="006F57C8">
        <w:rPr>
          <w:rFonts w:ascii="Arial" w:hAnsi="Arial" w:cs="Arial"/>
          <w:i/>
          <w:iCs/>
          <w:color w:val="373535"/>
          <w:w w:val="105"/>
          <w:sz w:val="20"/>
          <w:szCs w:val="20"/>
        </w:rPr>
        <w:t xml:space="preserve"> Society </w:t>
      </w:r>
      <w:r w:rsidRPr="006F57C8">
        <w:rPr>
          <w:rFonts w:ascii="Arial" w:hAnsi="Arial" w:cs="Arial"/>
          <w:color w:val="373535"/>
          <w:w w:val="105"/>
          <w:sz w:val="20"/>
          <w:szCs w:val="20"/>
        </w:rPr>
        <w:t>recomienda seguir los siguientes pasos para un diagnóstico de cáncer de mama lo más temprano posible:</w:t>
      </w:r>
    </w:p>
    <w:p w14:paraId="3DB08171" w14:textId="77777777" w:rsidR="006F57C8" w:rsidRPr="006F57C8" w:rsidRDefault="006F57C8" w:rsidP="006F57C8">
      <w:pPr>
        <w:kinsoku w:val="0"/>
        <w:overflowPunct w:val="0"/>
        <w:autoSpaceDE w:val="0"/>
        <w:autoSpaceDN w:val="0"/>
        <w:adjustRightInd w:val="0"/>
        <w:spacing w:after="0" w:line="240" w:lineRule="auto"/>
        <w:rPr>
          <w:rFonts w:ascii="Arial" w:hAnsi="Arial" w:cs="Arial"/>
          <w:sz w:val="20"/>
          <w:szCs w:val="20"/>
        </w:rPr>
      </w:pPr>
    </w:p>
    <w:p w14:paraId="37629CF9" w14:textId="62CAD423" w:rsidR="006F57C8" w:rsidRPr="006F57C8" w:rsidRDefault="006F57C8" w:rsidP="006F57C8">
      <w:pPr>
        <w:numPr>
          <w:ilvl w:val="0"/>
          <w:numId w:val="2"/>
        </w:numPr>
        <w:tabs>
          <w:tab w:val="left" w:pos="199"/>
        </w:tabs>
        <w:kinsoku w:val="0"/>
        <w:overflowPunct w:val="0"/>
        <w:autoSpaceDE w:val="0"/>
        <w:autoSpaceDN w:val="0"/>
        <w:adjustRightInd w:val="0"/>
        <w:spacing w:after="0" w:line="261" w:lineRule="auto"/>
        <w:ind w:right="1"/>
        <w:jc w:val="both"/>
        <w:rPr>
          <w:rFonts w:ascii="Arial" w:hAnsi="Arial" w:cs="Arial"/>
          <w:color w:val="373535"/>
          <w:w w:val="105"/>
          <w:sz w:val="20"/>
          <w:szCs w:val="20"/>
        </w:rPr>
      </w:pPr>
      <w:r w:rsidRPr="006F57C8">
        <w:rPr>
          <w:rFonts w:ascii="Arial" w:hAnsi="Arial" w:cs="Arial"/>
          <w:color w:val="373535"/>
          <w:spacing w:val="-3"/>
          <w:w w:val="105"/>
          <w:sz w:val="20"/>
          <w:szCs w:val="20"/>
        </w:rPr>
        <w:t>Todas</w:t>
      </w:r>
      <w:r w:rsidRPr="006F57C8">
        <w:rPr>
          <w:rFonts w:ascii="Arial" w:hAnsi="Arial" w:cs="Arial"/>
          <w:color w:val="373535"/>
          <w:spacing w:val="-8"/>
          <w:w w:val="105"/>
          <w:sz w:val="20"/>
          <w:szCs w:val="20"/>
        </w:rPr>
        <w:t xml:space="preserve"> </w:t>
      </w:r>
      <w:r w:rsidRPr="006F57C8">
        <w:rPr>
          <w:rFonts w:ascii="Arial" w:hAnsi="Arial" w:cs="Arial"/>
          <w:color w:val="373535"/>
          <w:w w:val="105"/>
          <w:sz w:val="20"/>
          <w:szCs w:val="20"/>
        </w:rPr>
        <w:t>las</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mujeres</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mayores</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de</w:t>
      </w:r>
      <w:r w:rsidRPr="006F57C8">
        <w:rPr>
          <w:rFonts w:ascii="Arial" w:hAnsi="Arial" w:cs="Arial"/>
          <w:color w:val="373535"/>
          <w:spacing w:val="-8"/>
          <w:w w:val="105"/>
          <w:sz w:val="20"/>
          <w:szCs w:val="20"/>
        </w:rPr>
        <w:t xml:space="preserve"> </w:t>
      </w:r>
      <w:r w:rsidRPr="006F57C8">
        <w:rPr>
          <w:rFonts w:ascii="Arial" w:hAnsi="Arial" w:cs="Arial"/>
          <w:color w:val="373535"/>
          <w:w w:val="105"/>
          <w:sz w:val="20"/>
          <w:szCs w:val="20"/>
        </w:rPr>
        <w:t>20</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años</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deben</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desarrollar</w:t>
      </w:r>
      <w:r w:rsidRPr="006F57C8">
        <w:rPr>
          <w:rFonts w:ascii="Arial" w:hAnsi="Arial" w:cs="Arial"/>
          <w:color w:val="373535"/>
          <w:spacing w:val="-8"/>
          <w:w w:val="105"/>
          <w:sz w:val="20"/>
          <w:szCs w:val="20"/>
        </w:rPr>
        <w:t xml:space="preserve"> </w:t>
      </w:r>
      <w:r w:rsidRPr="006F57C8">
        <w:rPr>
          <w:rFonts w:ascii="Arial" w:hAnsi="Arial" w:cs="Arial"/>
          <w:color w:val="373535"/>
          <w:w w:val="105"/>
          <w:sz w:val="20"/>
          <w:szCs w:val="20"/>
        </w:rPr>
        <w:t>el</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hábito</w:t>
      </w:r>
      <w:r w:rsidRPr="006F57C8">
        <w:rPr>
          <w:rFonts w:ascii="Arial" w:hAnsi="Arial" w:cs="Arial"/>
          <w:color w:val="373535"/>
          <w:spacing w:val="-7"/>
          <w:w w:val="105"/>
          <w:sz w:val="20"/>
          <w:szCs w:val="20"/>
        </w:rPr>
        <w:t xml:space="preserve"> </w:t>
      </w:r>
      <w:r w:rsidRPr="006F57C8">
        <w:rPr>
          <w:rFonts w:ascii="Arial" w:hAnsi="Arial" w:cs="Arial"/>
          <w:color w:val="373535"/>
          <w:w w:val="105"/>
          <w:sz w:val="20"/>
          <w:szCs w:val="20"/>
        </w:rPr>
        <w:t>de auto</w:t>
      </w:r>
      <w:r w:rsidR="0035302D">
        <w:rPr>
          <w:rFonts w:ascii="Arial" w:hAnsi="Arial" w:cs="Arial"/>
          <w:color w:val="373535"/>
          <w:w w:val="105"/>
          <w:sz w:val="20"/>
          <w:szCs w:val="20"/>
        </w:rPr>
        <w:t xml:space="preserve"> </w:t>
      </w:r>
      <w:r w:rsidRPr="006F57C8">
        <w:rPr>
          <w:rFonts w:ascii="Arial" w:hAnsi="Arial" w:cs="Arial"/>
          <w:color w:val="373535"/>
          <w:w w:val="105"/>
          <w:sz w:val="20"/>
          <w:szCs w:val="20"/>
        </w:rPr>
        <w:t>examinarse</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las</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mamas</w:t>
      </w:r>
      <w:r w:rsidRPr="006F57C8">
        <w:rPr>
          <w:rFonts w:ascii="Arial" w:hAnsi="Arial" w:cs="Arial"/>
          <w:color w:val="373535"/>
          <w:spacing w:val="1"/>
          <w:w w:val="105"/>
          <w:sz w:val="20"/>
          <w:szCs w:val="20"/>
        </w:rPr>
        <w:t xml:space="preserve"> </w:t>
      </w:r>
      <w:r w:rsidRPr="006F57C8">
        <w:rPr>
          <w:rFonts w:ascii="Arial" w:hAnsi="Arial" w:cs="Arial"/>
          <w:color w:val="373535"/>
          <w:w w:val="105"/>
          <w:sz w:val="20"/>
          <w:szCs w:val="20"/>
        </w:rPr>
        <w:t>mensualmente.</w:t>
      </w:r>
    </w:p>
    <w:p w14:paraId="5D2CDCE3" w14:textId="77777777" w:rsidR="006F57C8" w:rsidRPr="006F57C8" w:rsidRDefault="006F57C8" w:rsidP="006F57C8">
      <w:pPr>
        <w:numPr>
          <w:ilvl w:val="0"/>
          <w:numId w:val="2"/>
        </w:numPr>
        <w:tabs>
          <w:tab w:val="left" w:pos="199"/>
        </w:tabs>
        <w:kinsoku w:val="0"/>
        <w:overflowPunct w:val="0"/>
        <w:autoSpaceDE w:val="0"/>
        <w:autoSpaceDN w:val="0"/>
        <w:adjustRightInd w:val="0"/>
        <w:spacing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Un</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médico</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debe</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examinar</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las</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mamas</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cada</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3</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años,</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cuando</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la</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mujer</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tiene</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entre</w:t>
      </w:r>
      <w:r w:rsidRPr="006F57C8">
        <w:rPr>
          <w:rFonts w:ascii="Arial" w:hAnsi="Arial" w:cs="Arial"/>
          <w:color w:val="373535"/>
          <w:spacing w:val="9"/>
          <w:w w:val="105"/>
          <w:sz w:val="20"/>
          <w:szCs w:val="20"/>
        </w:rPr>
        <w:t xml:space="preserve"> </w:t>
      </w:r>
      <w:r w:rsidRPr="006F57C8">
        <w:rPr>
          <w:rFonts w:ascii="Arial" w:hAnsi="Arial" w:cs="Arial"/>
          <w:color w:val="373535"/>
          <w:w w:val="105"/>
          <w:sz w:val="20"/>
          <w:szCs w:val="20"/>
        </w:rPr>
        <w:t>20</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y</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40</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años</w:t>
      </w:r>
      <w:r w:rsidRPr="006F57C8">
        <w:rPr>
          <w:rFonts w:ascii="Arial" w:hAnsi="Arial" w:cs="Arial"/>
          <w:color w:val="373535"/>
          <w:spacing w:val="9"/>
          <w:w w:val="105"/>
          <w:sz w:val="20"/>
          <w:szCs w:val="20"/>
        </w:rPr>
        <w:t xml:space="preserve"> </w:t>
      </w:r>
      <w:r w:rsidRPr="006F57C8">
        <w:rPr>
          <w:rFonts w:ascii="Arial" w:hAnsi="Arial" w:cs="Arial"/>
          <w:color w:val="373535"/>
          <w:w w:val="105"/>
          <w:sz w:val="20"/>
          <w:szCs w:val="20"/>
        </w:rPr>
        <w:t>de</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edad,</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y</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luego</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cada</w:t>
      </w:r>
      <w:r w:rsidRPr="006F57C8">
        <w:rPr>
          <w:rFonts w:ascii="Arial" w:hAnsi="Arial" w:cs="Arial"/>
          <w:color w:val="373535"/>
          <w:spacing w:val="9"/>
          <w:w w:val="105"/>
          <w:sz w:val="20"/>
          <w:szCs w:val="20"/>
        </w:rPr>
        <w:t xml:space="preserve"> </w:t>
      </w:r>
      <w:r w:rsidRPr="006F57C8">
        <w:rPr>
          <w:rFonts w:ascii="Arial" w:hAnsi="Arial" w:cs="Arial"/>
          <w:color w:val="373535"/>
          <w:w w:val="105"/>
          <w:sz w:val="20"/>
          <w:szCs w:val="20"/>
        </w:rPr>
        <w:t>año</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a</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partir</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de</w:t>
      </w:r>
      <w:r w:rsidRPr="006F57C8">
        <w:rPr>
          <w:rFonts w:ascii="Arial" w:hAnsi="Arial" w:cs="Arial"/>
          <w:color w:val="373535"/>
          <w:spacing w:val="9"/>
          <w:w w:val="105"/>
          <w:sz w:val="20"/>
          <w:szCs w:val="20"/>
        </w:rPr>
        <w:t xml:space="preserve"> </w:t>
      </w:r>
      <w:r w:rsidRPr="006F57C8">
        <w:rPr>
          <w:rFonts w:ascii="Arial" w:hAnsi="Arial" w:cs="Arial"/>
          <w:color w:val="373535"/>
          <w:w w:val="105"/>
          <w:sz w:val="20"/>
          <w:szCs w:val="20"/>
        </w:rPr>
        <w:t>los</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40.</w:t>
      </w:r>
    </w:p>
    <w:p w14:paraId="1D22E7E7" w14:textId="77777777" w:rsidR="006F57C8" w:rsidRPr="006F57C8" w:rsidRDefault="006F57C8" w:rsidP="006F57C8">
      <w:pPr>
        <w:numPr>
          <w:ilvl w:val="0"/>
          <w:numId w:val="2"/>
        </w:numPr>
        <w:tabs>
          <w:tab w:val="left" w:pos="199"/>
        </w:tabs>
        <w:kinsoku w:val="0"/>
        <w:overflowPunct w:val="0"/>
        <w:autoSpaceDE w:val="0"/>
        <w:autoSpaceDN w:val="0"/>
        <w:adjustRightInd w:val="0"/>
        <w:spacing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Se</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debe</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realizar</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una</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mamografía</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en</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mujeres</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de</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35</w:t>
      </w:r>
      <w:r w:rsidRPr="006F57C8">
        <w:rPr>
          <w:rFonts w:ascii="Arial" w:hAnsi="Arial" w:cs="Arial"/>
          <w:color w:val="373535"/>
          <w:spacing w:val="4"/>
          <w:w w:val="105"/>
          <w:sz w:val="20"/>
          <w:szCs w:val="20"/>
        </w:rPr>
        <w:t xml:space="preserve"> </w:t>
      </w:r>
      <w:r w:rsidRPr="006F57C8">
        <w:rPr>
          <w:rFonts w:ascii="Arial" w:hAnsi="Arial" w:cs="Arial"/>
          <w:color w:val="373535"/>
          <w:w w:val="105"/>
          <w:sz w:val="20"/>
          <w:szCs w:val="20"/>
        </w:rPr>
        <w:t>a</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39</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años,</w:t>
      </w:r>
      <w:r w:rsidRPr="006F57C8">
        <w:rPr>
          <w:rFonts w:ascii="Arial" w:hAnsi="Arial" w:cs="Arial"/>
          <w:color w:val="373535"/>
          <w:spacing w:val="5"/>
          <w:w w:val="105"/>
          <w:sz w:val="20"/>
          <w:szCs w:val="20"/>
        </w:rPr>
        <w:t xml:space="preserve"> </w:t>
      </w:r>
      <w:r w:rsidRPr="006F57C8">
        <w:rPr>
          <w:rFonts w:ascii="Arial" w:hAnsi="Arial" w:cs="Arial"/>
          <w:color w:val="373535"/>
          <w:w w:val="105"/>
          <w:sz w:val="20"/>
          <w:szCs w:val="20"/>
        </w:rPr>
        <w:t>para luego</w:t>
      </w:r>
      <w:r w:rsidRPr="006F57C8">
        <w:rPr>
          <w:rFonts w:ascii="Arial" w:hAnsi="Arial" w:cs="Arial"/>
          <w:color w:val="373535"/>
          <w:spacing w:val="19"/>
          <w:w w:val="105"/>
          <w:sz w:val="20"/>
          <w:szCs w:val="20"/>
        </w:rPr>
        <w:t xml:space="preserve"> </w:t>
      </w:r>
      <w:r w:rsidRPr="006F57C8">
        <w:rPr>
          <w:rFonts w:ascii="Arial" w:hAnsi="Arial" w:cs="Arial"/>
          <w:color w:val="373535"/>
          <w:w w:val="105"/>
          <w:sz w:val="20"/>
          <w:szCs w:val="20"/>
        </w:rPr>
        <w:t>poder</w:t>
      </w:r>
      <w:r w:rsidRPr="006F57C8">
        <w:rPr>
          <w:rFonts w:ascii="Arial" w:hAnsi="Arial" w:cs="Arial"/>
          <w:color w:val="373535"/>
          <w:spacing w:val="19"/>
          <w:w w:val="105"/>
          <w:sz w:val="20"/>
          <w:szCs w:val="20"/>
        </w:rPr>
        <w:t xml:space="preserve"> </w:t>
      </w:r>
      <w:r w:rsidRPr="006F57C8">
        <w:rPr>
          <w:rFonts w:ascii="Arial" w:hAnsi="Arial" w:cs="Arial"/>
          <w:color w:val="373535"/>
          <w:w w:val="105"/>
          <w:sz w:val="20"/>
          <w:szCs w:val="20"/>
        </w:rPr>
        <w:t>utilizarla</w:t>
      </w:r>
      <w:r w:rsidRPr="006F57C8">
        <w:rPr>
          <w:rFonts w:ascii="Arial" w:hAnsi="Arial" w:cs="Arial"/>
          <w:color w:val="373535"/>
          <w:spacing w:val="18"/>
          <w:w w:val="105"/>
          <w:sz w:val="20"/>
          <w:szCs w:val="20"/>
        </w:rPr>
        <w:t xml:space="preserve"> </w:t>
      </w:r>
      <w:r w:rsidRPr="006F57C8">
        <w:rPr>
          <w:rFonts w:ascii="Arial" w:hAnsi="Arial" w:cs="Arial"/>
          <w:color w:val="373535"/>
          <w:w w:val="105"/>
          <w:sz w:val="20"/>
          <w:szCs w:val="20"/>
        </w:rPr>
        <w:t>como</w:t>
      </w:r>
      <w:r w:rsidRPr="006F57C8">
        <w:rPr>
          <w:rFonts w:ascii="Arial" w:hAnsi="Arial" w:cs="Arial"/>
          <w:color w:val="373535"/>
          <w:spacing w:val="19"/>
          <w:w w:val="105"/>
          <w:sz w:val="20"/>
          <w:szCs w:val="20"/>
        </w:rPr>
        <w:t xml:space="preserve"> </w:t>
      </w:r>
      <w:r w:rsidRPr="006F57C8">
        <w:rPr>
          <w:rFonts w:ascii="Arial" w:hAnsi="Arial" w:cs="Arial"/>
          <w:color w:val="373535"/>
          <w:w w:val="105"/>
          <w:sz w:val="20"/>
          <w:szCs w:val="20"/>
        </w:rPr>
        <w:t>comparación</w:t>
      </w:r>
      <w:r w:rsidRPr="006F57C8">
        <w:rPr>
          <w:rFonts w:ascii="Arial" w:hAnsi="Arial" w:cs="Arial"/>
          <w:color w:val="373535"/>
          <w:spacing w:val="19"/>
          <w:w w:val="105"/>
          <w:sz w:val="20"/>
          <w:szCs w:val="20"/>
        </w:rPr>
        <w:t xml:space="preserve"> </w:t>
      </w:r>
      <w:r w:rsidRPr="006F57C8">
        <w:rPr>
          <w:rFonts w:ascii="Arial" w:hAnsi="Arial" w:cs="Arial"/>
          <w:color w:val="373535"/>
          <w:w w:val="105"/>
          <w:sz w:val="20"/>
          <w:szCs w:val="20"/>
        </w:rPr>
        <w:t>con</w:t>
      </w:r>
      <w:r w:rsidRPr="006F57C8">
        <w:rPr>
          <w:rFonts w:ascii="Arial" w:hAnsi="Arial" w:cs="Arial"/>
          <w:color w:val="373535"/>
          <w:spacing w:val="19"/>
          <w:w w:val="105"/>
          <w:sz w:val="20"/>
          <w:szCs w:val="20"/>
        </w:rPr>
        <w:t xml:space="preserve"> </w:t>
      </w:r>
      <w:r w:rsidRPr="006F57C8">
        <w:rPr>
          <w:rFonts w:ascii="Arial" w:hAnsi="Arial" w:cs="Arial"/>
          <w:color w:val="373535"/>
          <w:w w:val="105"/>
          <w:sz w:val="20"/>
          <w:szCs w:val="20"/>
        </w:rPr>
        <w:t>estudios</w:t>
      </w:r>
      <w:r w:rsidRPr="006F57C8">
        <w:rPr>
          <w:rFonts w:ascii="Arial" w:hAnsi="Arial" w:cs="Arial"/>
          <w:color w:val="373535"/>
          <w:spacing w:val="18"/>
          <w:w w:val="105"/>
          <w:sz w:val="20"/>
          <w:szCs w:val="20"/>
        </w:rPr>
        <w:t xml:space="preserve"> </w:t>
      </w:r>
      <w:r w:rsidRPr="006F57C8">
        <w:rPr>
          <w:rFonts w:ascii="Arial" w:hAnsi="Arial" w:cs="Arial"/>
          <w:color w:val="373535"/>
          <w:w w:val="105"/>
          <w:sz w:val="20"/>
          <w:szCs w:val="20"/>
        </w:rPr>
        <w:t>posteriores (mamografía</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de</w:t>
      </w:r>
      <w:r w:rsidRPr="006F57C8">
        <w:rPr>
          <w:rFonts w:ascii="Arial" w:hAnsi="Arial" w:cs="Arial"/>
          <w:color w:val="373535"/>
          <w:spacing w:val="2"/>
          <w:w w:val="105"/>
          <w:sz w:val="20"/>
          <w:szCs w:val="20"/>
        </w:rPr>
        <w:t xml:space="preserve"> </w:t>
      </w:r>
      <w:r w:rsidRPr="006F57C8">
        <w:rPr>
          <w:rFonts w:ascii="Arial" w:hAnsi="Arial" w:cs="Arial"/>
          <w:color w:val="373535"/>
          <w:w w:val="105"/>
          <w:sz w:val="20"/>
          <w:szCs w:val="20"/>
        </w:rPr>
        <w:t>base).</w:t>
      </w:r>
    </w:p>
    <w:p w14:paraId="5F2750EC" w14:textId="77777777" w:rsidR="006F57C8" w:rsidRPr="006F57C8" w:rsidRDefault="006F57C8" w:rsidP="006F57C8">
      <w:pPr>
        <w:numPr>
          <w:ilvl w:val="0"/>
          <w:numId w:val="2"/>
        </w:numPr>
        <w:tabs>
          <w:tab w:val="left" w:pos="199"/>
        </w:tabs>
        <w:kinsoku w:val="0"/>
        <w:overflowPunct w:val="0"/>
        <w:autoSpaceDE w:val="0"/>
        <w:autoSpaceDN w:val="0"/>
        <w:adjustRightInd w:val="0"/>
        <w:spacing w:after="0" w:line="261" w:lineRule="auto"/>
        <w:ind w:right="1"/>
        <w:jc w:val="both"/>
        <w:rPr>
          <w:rFonts w:ascii="Arial" w:hAnsi="Arial" w:cs="Arial"/>
          <w:color w:val="373535"/>
          <w:sz w:val="20"/>
          <w:szCs w:val="20"/>
        </w:rPr>
      </w:pPr>
      <w:r w:rsidRPr="006F57C8">
        <w:rPr>
          <w:rFonts w:ascii="Arial" w:hAnsi="Arial" w:cs="Arial"/>
          <w:color w:val="373535"/>
          <w:sz w:val="20"/>
          <w:szCs w:val="20"/>
        </w:rPr>
        <w:t xml:space="preserve">Las mujeres sin síntomas deben realizarse una mamografía cada </w:t>
      </w:r>
      <w:r w:rsidRPr="006F57C8">
        <w:rPr>
          <w:rFonts w:ascii="Arial" w:hAnsi="Arial" w:cs="Arial"/>
          <w:color w:val="373535"/>
          <w:spacing w:val="-5"/>
          <w:sz w:val="20"/>
          <w:szCs w:val="20"/>
        </w:rPr>
        <w:t xml:space="preserve">año </w:t>
      </w:r>
      <w:r w:rsidRPr="006F57C8">
        <w:rPr>
          <w:rFonts w:ascii="Arial" w:hAnsi="Arial" w:cs="Arial"/>
          <w:color w:val="373535"/>
          <w:sz w:val="20"/>
          <w:szCs w:val="20"/>
        </w:rPr>
        <w:t>después de los 40</w:t>
      </w:r>
      <w:r w:rsidRPr="006F57C8">
        <w:rPr>
          <w:rFonts w:ascii="Arial" w:hAnsi="Arial" w:cs="Arial"/>
          <w:color w:val="373535"/>
          <w:spacing w:val="-13"/>
          <w:sz w:val="20"/>
          <w:szCs w:val="20"/>
        </w:rPr>
        <w:t xml:space="preserve"> </w:t>
      </w:r>
      <w:r w:rsidRPr="006F57C8">
        <w:rPr>
          <w:rFonts w:ascii="Arial" w:hAnsi="Arial" w:cs="Arial"/>
          <w:color w:val="373535"/>
          <w:sz w:val="20"/>
          <w:szCs w:val="20"/>
        </w:rPr>
        <w:t>años.</w:t>
      </w:r>
    </w:p>
    <w:p w14:paraId="02585CEF" w14:textId="77777777" w:rsidR="006F57C8" w:rsidRPr="006F57C8" w:rsidRDefault="006F57C8" w:rsidP="006F57C8">
      <w:pPr>
        <w:numPr>
          <w:ilvl w:val="0"/>
          <w:numId w:val="2"/>
        </w:numPr>
        <w:tabs>
          <w:tab w:val="left" w:pos="199"/>
        </w:tabs>
        <w:kinsoku w:val="0"/>
        <w:overflowPunct w:val="0"/>
        <w:autoSpaceDE w:val="0"/>
        <w:autoSpaceDN w:val="0"/>
        <w:adjustRightInd w:val="0"/>
        <w:spacing w:after="0" w:line="261" w:lineRule="auto"/>
        <w:ind w:right="1"/>
        <w:jc w:val="both"/>
        <w:rPr>
          <w:rFonts w:ascii="Arial" w:hAnsi="Arial" w:cs="Arial"/>
          <w:color w:val="373535"/>
          <w:w w:val="105"/>
          <w:sz w:val="20"/>
          <w:szCs w:val="20"/>
        </w:rPr>
      </w:pPr>
      <w:r w:rsidRPr="006F57C8">
        <w:rPr>
          <w:rFonts w:ascii="Arial" w:hAnsi="Arial" w:cs="Arial"/>
          <w:color w:val="373535"/>
          <w:w w:val="105"/>
          <w:sz w:val="20"/>
          <w:szCs w:val="20"/>
        </w:rPr>
        <w:t xml:space="preserve">Las mujeres de cualquier edad con antecedentes de cáncer de mama, antecedentes familiares de la enfermedad u otros factores de </w:t>
      </w:r>
      <w:r w:rsidRPr="006F57C8">
        <w:rPr>
          <w:rFonts w:ascii="Arial" w:hAnsi="Arial" w:cs="Arial"/>
          <w:color w:val="373535"/>
          <w:spacing w:val="-2"/>
          <w:w w:val="105"/>
          <w:sz w:val="20"/>
          <w:szCs w:val="20"/>
        </w:rPr>
        <w:t xml:space="preserve">riesgo </w:t>
      </w:r>
      <w:r w:rsidRPr="006F57C8">
        <w:rPr>
          <w:rFonts w:ascii="Arial" w:hAnsi="Arial" w:cs="Arial"/>
          <w:color w:val="373535"/>
          <w:w w:val="105"/>
          <w:sz w:val="20"/>
          <w:szCs w:val="20"/>
        </w:rPr>
        <w:t>deben consultar al médico para programar una</w:t>
      </w:r>
      <w:r w:rsidRPr="006F57C8">
        <w:rPr>
          <w:rFonts w:ascii="Arial" w:hAnsi="Arial" w:cs="Arial"/>
          <w:color w:val="373535"/>
          <w:spacing w:val="10"/>
          <w:w w:val="105"/>
          <w:sz w:val="20"/>
          <w:szCs w:val="20"/>
        </w:rPr>
        <w:t xml:space="preserve"> </w:t>
      </w:r>
      <w:r w:rsidRPr="006F57C8">
        <w:rPr>
          <w:rFonts w:ascii="Arial" w:hAnsi="Arial" w:cs="Arial"/>
          <w:color w:val="373535"/>
          <w:w w:val="105"/>
          <w:sz w:val="20"/>
          <w:szCs w:val="20"/>
        </w:rPr>
        <w:t>mamografía.</w:t>
      </w:r>
    </w:p>
    <w:p w14:paraId="12F1DF38" w14:textId="77777777" w:rsidR="006F57C8" w:rsidRPr="006F57C8" w:rsidRDefault="006F57C8" w:rsidP="006F57C8">
      <w:pPr>
        <w:kinsoku w:val="0"/>
        <w:overflowPunct w:val="0"/>
        <w:autoSpaceDE w:val="0"/>
        <w:autoSpaceDN w:val="0"/>
        <w:adjustRightInd w:val="0"/>
        <w:spacing w:before="7" w:after="0" w:line="240" w:lineRule="auto"/>
        <w:rPr>
          <w:rFonts w:ascii="Arial" w:hAnsi="Arial" w:cs="Arial"/>
          <w:sz w:val="20"/>
          <w:szCs w:val="20"/>
        </w:rPr>
      </w:pPr>
    </w:p>
    <w:p w14:paraId="640D2922" w14:textId="0E07F83C" w:rsidR="006F57C8" w:rsidRPr="006F57C8" w:rsidRDefault="006F57C8" w:rsidP="006F57C8">
      <w:pPr>
        <w:kinsoku w:val="0"/>
        <w:overflowPunct w:val="0"/>
        <w:autoSpaceDE w:val="0"/>
        <w:autoSpaceDN w:val="0"/>
        <w:adjustRightInd w:val="0"/>
        <w:spacing w:after="0"/>
        <w:jc w:val="both"/>
        <w:rPr>
          <w:rFonts w:ascii="Arial" w:hAnsi="Arial" w:cs="Arial"/>
          <w:color w:val="373535"/>
          <w:w w:val="105"/>
          <w:sz w:val="20"/>
          <w:szCs w:val="20"/>
        </w:rPr>
      </w:pPr>
      <w:r w:rsidRPr="006F57C8">
        <w:rPr>
          <w:rFonts w:ascii="Arial" w:hAnsi="Arial" w:cs="Arial"/>
          <w:color w:val="373535"/>
          <w:w w:val="105"/>
          <w:sz w:val="20"/>
          <w:szCs w:val="20"/>
        </w:rPr>
        <w:t>En noviembre de 2009, la USPSTF (</w:t>
      </w:r>
      <w:r w:rsidRPr="006F57C8">
        <w:rPr>
          <w:rFonts w:ascii="Arial" w:hAnsi="Arial" w:cs="Arial"/>
          <w:i/>
          <w:iCs/>
          <w:color w:val="373535"/>
          <w:w w:val="105"/>
          <w:sz w:val="20"/>
          <w:szCs w:val="20"/>
        </w:rPr>
        <w:t>United States Preventive Services Task Force</w:t>
      </w:r>
      <w:r w:rsidRPr="006F57C8">
        <w:rPr>
          <w:rFonts w:ascii="Arial" w:hAnsi="Arial" w:cs="Arial"/>
          <w:color w:val="373535"/>
          <w:w w:val="105"/>
          <w:sz w:val="20"/>
          <w:szCs w:val="20"/>
        </w:rPr>
        <w:t>) elaboró una serie de recomendaciones en relación con la detección sistemática del cáncer de mama en mujeres con riesgo normal para esta enfermedad; es decir, mujeres sin signos ni síntomas de cáncer de mama y que no presentan un aumento del riesgo de presentar esta enfermedad (p. ej., sin antecedentes familiares). Estas rec</w:t>
      </w:r>
      <w:r w:rsidR="0035302D">
        <w:rPr>
          <w:rFonts w:ascii="Arial" w:hAnsi="Arial" w:cs="Arial"/>
          <w:color w:val="373535"/>
          <w:w w:val="105"/>
          <w:sz w:val="20"/>
          <w:szCs w:val="20"/>
        </w:rPr>
        <w:t>o</w:t>
      </w:r>
      <w:r w:rsidRPr="006F57C8">
        <w:rPr>
          <w:rFonts w:ascii="Arial" w:hAnsi="Arial" w:cs="Arial"/>
          <w:color w:val="373535"/>
          <w:w w:val="105"/>
          <w:sz w:val="20"/>
          <w:szCs w:val="20"/>
        </w:rPr>
        <w:t>mendaciones son las siguientes:</w:t>
      </w:r>
    </w:p>
    <w:p w14:paraId="67EFDA43" w14:textId="77777777" w:rsidR="006F57C8" w:rsidRPr="006F57C8" w:rsidRDefault="006F57C8" w:rsidP="006F57C8">
      <w:pPr>
        <w:kinsoku w:val="0"/>
        <w:overflowPunct w:val="0"/>
        <w:autoSpaceDE w:val="0"/>
        <w:autoSpaceDN w:val="0"/>
        <w:adjustRightInd w:val="0"/>
        <w:spacing w:before="8" w:after="0" w:line="240" w:lineRule="auto"/>
        <w:rPr>
          <w:rFonts w:ascii="Arial" w:hAnsi="Arial" w:cs="Arial"/>
          <w:sz w:val="20"/>
          <w:szCs w:val="20"/>
        </w:rPr>
      </w:pPr>
    </w:p>
    <w:p w14:paraId="2669B250" w14:textId="77777777" w:rsid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2038086C" w14:textId="77777777" w:rsid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639F112E" w14:textId="77777777" w:rsid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376EC0D3" w14:textId="77777777" w:rsid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p>
    <w:p w14:paraId="77951F2B" w14:textId="00EB6486" w:rsidR="006F57C8" w:rsidRPr="006F57C8" w:rsidRDefault="006F57C8" w:rsidP="006F57C8">
      <w:pPr>
        <w:kinsoku w:val="0"/>
        <w:overflowPunct w:val="0"/>
        <w:autoSpaceDE w:val="0"/>
        <w:autoSpaceDN w:val="0"/>
        <w:adjustRightInd w:val="0"/>
        <w:spacing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Las mujeres de 50-74 años deben hacerse una mamografía cada 2 años. Las mujeres mayores de 74 años no deberían hacerse mamografías.</w:t>
      </w:r>
    </w:p>
    <w:p w14:paraId="2ED9A4DD" w14:textId="77777777" w:rsidR="006F57C8" w:rsidRPr="006F57C8" w:rsidRDefault="006F57C8" w:rsidP="006F57C8">
      <w:pPr>
        <w:kinsoku w:val="0"/>
        <w:overflowPunct w:val="0"/>
        <w:autoSpaceDE w:val="0"/>
        <w:autoSpaceDN w:val="0"/>
        <w:adjustRightInd w:val="0"/>
        <w:spacing w:after="0" w:line="183" w:lineRule="exact"/>
        <w:jc w:val="both"/>
        <w:rPr>
          <w:rFonts w:ascii="Arial" w:hAnsi="Arial" w:cs="Arial"/>
          <w:color w:val="373535"/>
          <w:sz w:val="20"/>
          <w:szCs w:val="20"/>
        </w:rPr>
      </w:pPr>
      <w:r w:rsidRPr="006F57C8">
        <w:rPr>
          <w:rFonts w:ascii="Arial" w:hAnsi="Arial" w:cs="Arial"/>
          <w:color w:val="373535"/>
          <w:sz w:val="20"/>
          <w:szCs w:val="20"/>
        </w:rPr>
        <w:t>El autoexamen de las mamas no es necesario.</w:t>
      </w:r>
    </w:p>
    <w:p w14:paraId="6E969005" w14:textId="77777777" w:rsidR="006F57C8" w:rsidRPr="006F57C8" w:rsidRDefault="006F57C8" w:rsidP="006F57C8">
      <w:pPr>
        <w:kinsoku w:val="0"/>
        <w:overflowPunct w:val="0"/>
        <w:autoSpaceDE w:val="0"/>
        <w:autoSpaceDN w:val="0"/>
        <w:adjustRightInd w:val="0"/>
        <w:spacing w:before="9" w:after="0" w:line="240" w:lineRule="auto"/>
        <w:rPr>
          <w:rFonts w:ascii="Arial" w:hAnsi="Arial" w:cs="Arial"/>
          <w:sz w:val="20"/>
          <w:szCs w:val="20"/>
        </w:rPr>
      </w:pPr>
    </w:p>
    <w:p w14:paraId="61A9B476" w14:textId="57A0FC06" w:rsidR="006F57C8" w:rsidRPr="006F57C8" w:rsidRDefault="006F57C8" w:rsidP="0035302D">
      <w:pPr>
        <w:kinsoku w:val="0"/>
        <w:overflowPunct w:val="0"/>
        <w:autoSpaceDE w:val="0"/>
        <w:autoSpaceDN w:val="0"/>
        <w:adjustRightInd w:val="0"/>
        <w:spacing w:after="0" w:line="256" w:lineRule="auto"/>
        <w:jc w:val="both"/>
        <w:rPr>
          <w:rFonts w:ascii="Arial" w:hAnsi="Arial" w:cs="Arial"/>
          <w:color w:val="373535"/>
          <w:w w:val="105"/>
          <w:sz w:val="20"/>
          <w:szCs w:val="20"/>
        </w:rPr>
      </w:pPr>
      <w:r w:rsidRPr="006F57C8">
        <w:rPr>
          <w:rFonts w:ascii="Arial" w:hAnsi="Arial" w:cs="Arial"/>
          <w:color w:val="373535"/>
          <w:w w:val="105"/>
          <w:sz w:val="20"/>
          <w:szCs w:val="20"/>
        </w:rPr>
        <w:t xml:space="preserve">El tratamiento del cáncer de mama incluye terapia hormonal, quimio- terapia, radioterapia, </w:t>
      </w:r>
      <w:r w:rsidRPr="006F57C8">
        <w:rPr>
          <w:rFonts w:ascii="Arial" w:hAnsi="Arial" w:cs="Arial"/>
          <w:b/>
          <w:bCs/>
          <w:color w:val="373535"/>
          <w:w w:val="105"/>
          <w:sz w:val="20"/>
          <w:szCs w:val="20"/>
        </w:rPr>
        <w:t xml:space="preserve">tumorectomía </w:t>
      </w:r>
      <w:r w:rsidRPr="006F57C8">
        <w:rPr>
          <w:rFonts w:ascii="Arial" w:hAnsi="Arial" w:cs="Arial"/>
          <w:color w:val="373535"/>
          <w:w w:val="105"/>
          <w:sz w:val="20"/>
          <w:szCs w:val="20"/>
        </w:rPr>
        <w:t xml:space="preserve">(extirpación del tumor y el tejido circundante), mastectomía radical modificada o una combinación de estos procedimientos. La </w:t>
      </w:r>
      <w:r w:rsidRPr="006F57C8">
        <w:rPr>
          <w:rFonts w:ascii="Arial" w:hAnsi="Arial" w:cs="Arial"/>
          <w:b/>
          <w:bCs/>
          <w:color w:val="373535"/>
          <w:w w:val="105"/>
          <w:sz w:val="20"/>
          <w:szCs w:val="20"/>
        </w:rPr>
        <w:t xml:space="preserve">mastectomía radical </w:t>
      </w:r>
      <w:r w:rsidRPr="006F57C8">
        <w:rPr>
          <w:rFonts w:ascii="Arial" w:hAnsi="Arial" w:cs="Arial"/>
          <w:color w:val="373535"/>
          <w:w w:val="105"/>
          <w:sz w:val="20"/>
          <w:szCs w:val="20"/>
        </w:rPr>
        <w:t>comprende la resección de la mama afectada junto con los músculos pectorales sub- yacentes y los ganglios linfáticos axilares. (Los ganglios linfáticos se extirpan debido a que la metástasis de las células cancerosas se produce habitualmente a través de los vasos linfáticos y sanguíneos). El tratamiento con radiación y la quimioterapia pueden realizarse luego de la cirugía para asegurar la destrucción de cualquier célula cancerígena restante.</w:t>
      </w:r>
    </w:p>
    <w:p w14:paraId="467D0283" w14:textId="25238BCF" w:rsidR="006F57C8" w:rsidRPr="006F57C8" w:rsidRDefault="006F57C8" w:rsidP="006F57C8">
      <w:pPr>
        <w:kinsoku w:val="0"/>
        <w:overflowPunct w:val="0"/>
        <w:autoSpaceDE w:val="0"/>
        <w:autoSpaceDN w:val="0"/>
        <w:adjustRightInd w:val="0"/>
        <w:spacing w:after="0"/>
        <w:jc w:val="both"/>
        <w:rPr>
          <w:rFonts w:ascii="Arial" w:hAnsi="Arial" w:cs="Arial"/>
          <w:color w:val="373535"/>
          <w:w w:val="105"/>
          <w:sz w:val="20"/>
          <w:szCs w:val="20"/>
        </w:rPr>
      </w:pPr>
      <w:r w:rsidRPr="006F57C8">
        <w:rPr>
          <w:rFonts w:ascii="Arial" w:hAnsi="Arial" w:cs="Arial"/>
          <w:color w:val="373535"/>
          <w:w w:val="105"/>
          <w:sz w:val="20"/>
          <w:szCs w:val="20"/>
        </w:rPr>
        <w:t xml:space="preserve">Se utilizan varios tipos de agentes quimioterápicos para disminuir el riesgo de recaída o progresión de la enfermedad. El tamoxifeno es un antagonista de los estrógenos que se une al receptor de estrógenos y lo bloquea, lo que disminuye el efecto estimulador de los estrógenos sobre las células del cáncer mamario. El tamoxifeno se ha utilizado desde hace 20 años y disminuye enormemente el riesgo de recurrencia del cáncer. El </w:t>
      </w:r>
      <w:r w:rsidRPr="006F57C8">
        <w:rPr>
          <w:rFonts w:ascii="Arial" w:hAnsi="Arial" w:cs="Arial"/>
          <w:i/>
          <w:iCs/>
          <w:color w:val="373535"/>
          <w:w w:val="105"/>
          <w:sz w:val="20"/>
          <w:szCs w:val="20"/>
        </w:rPr>
        <w:t>Herceptin</w:t>
      </w:r>
      <w:r w:rsidRPr="006F57C8">
        <w:rPr>
          <w:rFonts w:ascii="Arial" w:hAnsi="Arial" w:cs="Arial"/>
          <w:color w:val="373535"/>
          <w:w w:val="105"/>
          <w:sz w:val="20"/>
          <w:szCs w:val="20"/>
          <w:vertAlign w:val="superscript"/>
        </w:rPr>
        <w:t>®</w:t>
      </w:r>
      <w:r w:rsidRPr="006F57C8">
        <w:rPr>
          <w:rFonts w:ascii="Arial" w:hAnsi="Arial" w:cs="Arial"/>
          <w:color w:val="373535"/>
          <w:w w:val="105"/>
          <w:sz w:val="20"/>
          <w:szCs w:val="20"/>
        </w:rPr>
        <w:t xml:space="preserve">, un anticuerpo monoclonal, tiene como diana un antígeno de superficie de las células de cáncer mamario. Es efectivo para producir la regresión de tumores y retrasar la progresión de la enfermedad. Los datos preliminares obtenidos por ensayos clínicos de dos nuevos fármacos, </w:t>
      </w:r>
      <w:r w:rsidRPr="006F57C8">
        <w:rPr>
          <w:rFonts w:ascii="Arial" w:hAnsi="Arial" w:cs="Arial"/>
          <w:i/>
          <w:iCs/>
          <w:color w:val="373535"/>
          <w:w w:val="105"/>
          <w:sz w:val="20"/>
          <w:szCs w:val="20"/>
        </w:rPr>
        <w:t>Femara</w:t>
      </w:r>
      <w:r w:rsidRPr="006F57C8">
        <w:rPr>
          <w:rFonts w:ascii="Arial" w:hAnsi="Arial" w:cs="Arial"/>
          <w:color w:val="373535"/>
          <w:w w:val="105"/>
          <w:sz w:val="20"/>
          <w:szCs w:val="20"/>
          <w:vertAlign w:val="superscript"/>
        </w:rPr>
        <w:t>®</w:t>
      </w:r>
      <w:r w:rsidRPr="006F57C8">
        <w:rPr>
          <w:rFonts w:ascii="Arial" w:hAnsi="Arial" w:cs="Arial"/>
          <w:color w:val="373535"/>
          <w:w w:val="105"/>
          <w:sz w:val="20"/>
          <w:szCs w:val="20"/>
        </w:rPr>
        <w:t xml:space="preserve"> y </w:t>
      </w:r>
      <w:r w:rsidRPr="006F57C8">
        <w:rPr>
          <w:rFonts w:ascii="Arial" w:hAnsi="Arial" w:cs="Arial"/>
          <w:i/>
          <w:iCs/>
          <w:color w:val="373535"/>
          <w:w w:val="105"/>
          <w:sz w:val="20"/>
          <w:szCs w:val="20"/>
        </w:rPr>
        <w:t>Arimidex</w:t>
      </w:r>
      <w:r w:rsidRPr="006F57C8">
        <w:rPr>
          <w:rFonts w:ascii="Arial" w:hAnsi="Arial" w:cs="Arial"/>
          <w:color w:val="373535"/>
          <w:w w:val="105"/>
          <w:sz w:val="20"/>
          <w:szCs w:val="20"/>
          <w:vertAlign w:val="superscript"/>
        </w:rPr>
        <w:t>®</w:t>
      </w:r>
      <w:r w:rsidRPr="006F57C8">
        <w:rPr>
          <w:rFonts w:ascii="Arial" w:hAnsi="Arial" w:cs="Arial"/>
          <w:color w:val="373535"/>
          <w:w w:val="105"/>
          <w:sz w:val="20"/>
          <w:szCs w:val="20"/>
        </w:rPr>
        <w:t xml:space="preserve">, muestran tasas de recaída aún menores que las del tamoxifeno. Estos fármacos son inhibidores de la aromatasa, la enzima necesaria para el paso final en la síntesis de estrógenos. Finalmente, dos fármacos (tamoxifeno y raloxifeno) están siendo comercializadas para la </w:t>
      </w:r>
      <w:r w:rsidRPr="006F57C8">
        <w:rPr>
          <w:rFonts w:ascii="Arial" w:hAnsi="Arial" w:cs="Arial"/>
          <w:i/>
          <w:iCs/>
          <w:color w:val="373535"/>
          <w:w w:val="105"/>
          <w:sz w:val="20"/>
          <w:szCs w:val="20"/>
        </w:rPr>
        <w:t xml:space="preserve">prevención </w:t>
      </w:r>
      <w:r w:rsidRPr="006F57C8">
        <w:rPr>
          <w:rFonts w:ascii="Arial" w:hAnsi="Arial" w:cs="Arial"/>
          <w:color w:val="373535"/>
          <w:w w:val="105"/>
          <w:sz w:val="20"/>
          <w:szCs w:val="20"/>
        </w:rPr>
        <w:t>del cáncer de mama. Es interesante señalar que el raloxifeno bloquea los receptores de estrógenos en las mamas y el útero, pero activa los receptores estrogénicos en el hueso. Así, se pueden utilizar para tratar la osteoporosis en la mujer sin incrementar su riesgo de cáncer de mama o endometrio (uterino).</w:t>
      </w:r>
    </w:p>
    <w:p w14:paraId="44D627CB" w14:textId="77777777" w:rsidR="006F57C8" w:rsidRPr="006F57C8" w:rsidRDefault="006F57C8" w:rsidP="006F57C8">
      <w:pPr>
        <w:kinsoku w:val="0"/>
        <w:overflowPunct w:val="0"/>
        <w:autoSpaceDE w:val="0"/>
        <w:autoSpaceDN w:val="0"/>
        <w:adjustRightInd w:val="0"/>
        <w:spacing w:before="2" w:after="0" w:line="240" w:lineRule="auto"/>
        <w:rPr>
          <w:rFonts w:ascii="Arial" w:hAnsi="Arial" w:cs="Arial"/>
          <w:sz w:val="20"/>
          <w:szCs w:val="20"/>
        </w:rPr>
      </w:pPr>
    </w:p>
    <w:p w14:paraId="66C1662B" w14:textId="77777777" w:rsidR="006F57C8" w:rsidRPr="006F57C8" w:rsidRDefault="006F57C8" w:rsidP="006F57C8">
      <w:pPr>
        <w:kinsoku w:val="0"/>
        <w:overflowPunct w:val="0"/>
        <w:autoSpaceDE w:val="0"/>
        <w:autoSpaceDN w:val="0"/>
        <w:adjustRightInd w:val="0"/>
        <w:spacing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Cáncer de ovario</w:t>
      </w:r>
    </w:p>
    <w:p w14:paraId="24796E24" w14:textId="2820B0A8" w:rsidR="006F57C8" w:rsidRDefault="006F57C8" w:rsidP="006F57C8">
      <w:pPr>
        <w:kinsoku w:val="0"/>
        <w:overflowPunct w:val="0"/>
        <w:autoSpaceDE w:val="0"/>
        <w:autoSpaceDN w:val="0"/>
        <w:adjustRightInd w:val="0"/>
        <w:spacing w:after="0"/>
        <w:jc w:val="both"/>
        <w:rPr>
          <w:rFonts w:ascii="Arial" w:hAnsi="Arial" w:cs="Arial"/>
          <w:color w:val="373535"/>
          <w:w w:val="105"/>
          <w:sz w:val="20"/>
          <w:szCs w:val="20"/>
        </w:rPr>
      </w:pPr>
      <w:r w:rsidRPr="006F57C8">
        <w:rPr>
          <w:rFonts w:ascii="Arial" w:hAnsi="Arial" w:cs="Arial"/>
          <w:color w:val="373535"/>
          <w:w w:val="105"/>
          <w:sz w:val="20"/>
          <w:szCs w:val="20"/>
        </w:rPr>
        <w:t xml:space="preserve">A pesar de ser la sexta forma más común de cáncer en las mujeres, el </w:t>
      </w:r>
      <w:r w:rsidRPr="006F57C8">
        <w:rPr>
          <w:rFonts w:ascii="Arial" w:hAnsi="Arial" w:cs="Arial"/>
          <w:b/>
          <w:bCs/>
          <w:color w:val="373535"/>
          <w:w w:val="105"/>
          <w:sz w:val="20"/>
          <w:szCs w:val="20"/>
        </w:rPr>
        <w:t xml:space="preserve">cáncer de ovario </w:t>
      </w:r>
      <w:r w:rsidRPr="006F57C8">
        <w:rPr>
          <w:rFonts w:ascii="Arial" w:hAnsi="Arial" w:cs="Arial"/>
          <w:color w:val="373535"/>
          <w:w w:val="105"/>
          <w:sz w:val="20"/>
          <w:szCs w:val="20"/>
        </w:rPr>
        <w:t>es la principal causa de muerte de todos los cánceres ginecológicos (excepto el de mama), debido a que es difícil detectarlo antes de que haga metástasis (se disemine) más allá de los ovarios. Los factores de riesgo asociados al cáncer de ovario incluyen la edad (habitualmente por encima de los 50 años), la raza (las personas blancas son las que tienen mayor riesgo), los antecedentes familiares de cáncer de ovario, más de 40 años de ovulación activa, nuliparidad o primer embarazo después de los 30 años de edad, una dieta rica en grasas, baja en fibras y deficiente en vitamina A y la exposición prolongada al asbesto o al talco. El cáncer de ovario temprano no provoca síntomas o produce sólo algunos síntomas leves asociados a otros inespecíficos, como malestar abdominal, pirosis, náuseas, pérdida del apetito, meteorismo y flatulencia. Los signos y síntomas de los estadios más avanzados incluyen distensión abdominal, dolor abdominal y/o pelviano, alteraciones gastrointestinales persistentes, complicaciones urinarias, irregularidades menstruales y sangrado menstrual profuso.</w:t>
      </w:r>
    </w:p>
    <w:p w14:paraId="0925E57E" w14:textId="77777777" w:rsidR="0035302D" w:rsidRPr="006F57C8" w:rsidRDefault="0035302D" w:rsidP="006F57C8">
      <w:pPr>
        <w:kinsoku w:val="0"/>
        <w:overflowPunct w:val="0"/>
        <w:autoSpaceDE w:val="0"/>
        <w:autoSpaceDN w:val="0"/>
        <w:adjustRightInd w:val="0"/>
        <w:spacing w:after="0"/>
        <w:jc w:val="both"/>
        <w:rPr>
          <w:rFonts w:ascii="Arial" w:hAnsi="Arial" w:cs="Arial"/>
          <w:color w:val="373535"/>
          <w:w w:val="105"/>
          <w:sz w:val="20"/>
          <w:szCs w:val="20"/>
        </w:rPr>
      </w:pPr>
    </w:p>
    <w:p w14:paraId="618331D8" w14:textId="77777777" w:rsidR="006F57C8" w:rsidRPr="006F57C8" w:rsidRDefault="006F57C8" w:rsidP="006F57C8">
      <w:pPr>
        <w:kinsoku w:val="0"/>
        <w:overflowPunct w:val="0"/>
        <w:autoSpaceDE w:val="0"/>
        <w:autoSpaceDN w:val="0"/>
        <w:adjustRightInd w:val="0"/>
        <w:spacing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Cáncer cervical</w:t>
      </w:r>
    </w:p>
    <w:p w14:paraId="011C1259" w14:textId="1EFF367D" w:rsidR="006F57C8" w:rsidRDefault="006F57C8" w:rsidP="006F57C8">
      <w:pPr>
        <w:kinsoku w:val="0"/>
        <w:overflowPunct w:val="0"/>
        <w:autoSpaceDE w:val="0"/>
        <w:autoSpaceDN w:val="0"/>
        <w:adjustRightInd w:val="0"/>
        <w:spacing w:after="0"/>
        <w:jc w:val="both"/>
        <w:rPr>
          <w:rFonts w:ascii="Arial" w:hAnsi="Arial" w:cs="Arial"/>
          <w:color w:val="373535"/>
          <w:w w:val="105"/>
          <w:sz w:val="20"/>
          <w:szCs w:val="20"/>
        </w:rPr>
      </w:pPr>
      <w:r w:rsidRPr="006F57C8">
        <w:rPr>
          <w:rFonts w:ascii="Arial" w:hAnsi="Arial" w:cs="Arial"/>
          <w:color w:val="373535"/>
          <w:w w:val="105"/>
          <w:sz w:val="20"/>
          <w:szCs w:val="20"/>
        </w:rPr>
        <w:t xml:space="preserve">El </w:t>
      </w:r>
      <w:r w:rsidRPr="006F57C8">
        <w:rPr>
          <w:rFonts w:ascii="Arial" w:hAnsi="Arial" w:cs="Arial"/>
          <w:b/>
          <w:bCs/>
          <w:color w:val="373535"/>
          <w:w w:val="105"/>
          <w:sz w:val="20"/>
          <w:szCs w:val="20"/>
        </w:rPr>
        <w:t>cáncer cervical</w:t>
      </w:r>
      <w:r w:rsidRPr="006F57C8">
        <w:rPr>
          <w:rFonts w:ascii="Arial" w:hAnsi="Arial" w:cs="Arial"/>
          <w:color w:val="373535"/>
          <w:w w:val="105"/>
          <w:sz w:val="20"/>
          <w:szCs w:val="20"/>
        </w:rPr>
        <w:t xml:space="preserve">, carcinoma del cuello uterino, comienza como una </w:t>
      </w:r>
      <w:r w:rsidRPr="006F57C8">
        <w:rPr>
          <w:rFonts w:ascii="Arial" w:hAnsi="Arial" w:cs="Arial"/>
          <w:b/>
          <w:bCs/>
          <w:color w:val="373535"/>
          <w:w w:val="105"/>
          <w:sz w:val="20"/>
          <w:szCs w:val="20"/>
        </w:rPr>
        <w:t>displasia cervical</w:t>
      </w:r>
      <w:r w:rsidRPr="006F57C8">
        <w:rPr>
          <w:rFonts w:ascii="Arial" w:hAnsi="Arial" w:cs="Arial"/>
          <w:color w:val="373535"/>
          <w:w w:val="105"/>
          <w:sz w:val="20"/>
          <w:szCs w:val="20"/>
        </w:rPr>
        <w:t>, con cambios en la forma, crecimiento y número de las células cervicales. Las células pueden regresar a la normalidad o progresar hacia el cáncer. En la mayoría de los casos, el cáncer cervical puede detectarse en sus estadios más tempranos, por medio de un examen de Pap (véase Correlación Clínica; Examen de Papanicolaou, en el Capítulo 4). Cierta evidencia vincula el cáncer cervical con el virus que causa las verrugas genitales, el virus del papiloma humano (HPV). El riesgo aumentado se asocia con el número de parejas sexuales, con haber tenido la primera relación sexual en edades tempranas y el tabaquismo.</w:t>
      </w:r>
    </w:p>
    <w:p w14:paraId="3FDA1727" w14:textId="77777777" w:rsidR="0035302D" w:rsidRPr="006F57C8" w:rsidRDefault="0035302D" w:rsidP="006F57C8">
      <w:pPr>
        <w:kinsoku w:val="0"/>
        <w:overflowPunct w:val="0"/>
        <w:autoSpaceDE w:val="0"/>
        <w:autoSpaceDN w:val="0"/>
        <w:adjustRightInd w:val="0"/>
        <w:spacing w:after="0"/>
        <w:jc w:val="both"/>
        <w:rPr>
          <w:rFonts w:ascii="Arial" w:hAnsi="Arial" w:cs="Arial"/>
          <w:color w:val="373535"/>
          <w:w w:val="105"/>
          <w:sz w:val="20"/>
          <w:szCs w:val="20"/>
        </w:rPr>
      </w:pPr>
    </w:p>
    <w:p w14:paraId="2CF8A2DF" w14:textId="77777777" w:rsidR="006F57C8" w:rsidRPr="006F57C8" w:rsidRDefault="006F57C8" w:rsidP="006F57C8">
      <w:pPr>
        <w:kinsoku w:val="0"/>
        <w:overflowPunct w:val="0"/>
        <w:autoSpaceDE w:val="0"/>
        <w:autoSpaceDN w:val="0"/>
        <w:adjustRightInd w:val="0"/>
        <w:spacing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Candidiasis vulvovaginal</w:t>
      </w:r>
    </w:p>
    <w:p w14:paraId="779D6B24" w14:textId="6365FDC0" w:rsidR="006F57C8" w:rsidRPr="006F57C8" w:rsidRDefault="006F57C8" w:rsidP="0035302D">
      <w:pPr>
        <w:kinsoku w:val="0"/>
        <w:overflowPunct w:val="0"/>
        <w:autoSpaceDE w:val="0"/>
        <w:autoSpaceDN w:val="0"/>
        <w:adjustRightInd w:val="0"/>
        <w:spacing w:after="0" w:line="256" w:lineRule="auto"/>
        <w:jc w:val="both"/>
        <w:rPr>
          <w:rFonts w:ascii="Arial" w:hAnsi="Arial" w:cs="Arial"/>
          <w:color w:val="373535"/>
          <w:w w:val="105"/>
          <w:sz w:val="20"/>
          <w:szCs w:val="20"/>
        </w:rPr>
        <w:sectPr w:rsidR="006F57C8" w:rsidRPr="006F57C8" w:rsidSect="00C815D9">
          <w:pgSz w:w="13330" w:h="15590"/>
          <w:pgMar w:top="0" w:right="580" w:bottom="0" w:left="6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6F57C8">
        <w:rPr>
          <w:rFonts w:ascii="Arial" w:hAnsi="Arial" w:cs="Arial"/>
          <w:color w:val="373535"/>
          <w:w w:val="105"/>
          <w:sz w:val="20"/>
          <w:szCs w:val="20"/>
        </w:rPr>
        <w:t xml:space="preserve">La </w:t>
      </w:r>
      <w:r w:rsidRPr="006F57C8">
        <w:rPr>
          <w:rFonts w:ascii="Arial" w:hAnsi="Arial" w:cs="Arial"/>
          <w:i/>
          <w:iCs/>
          <w:color w:val="373535"/>
          <w:w w:val="105"/>
          <w:sz w:val="20"/>
          <w:szCs w:val="20"/>
        </w:rPr>
        <w:t xml:space="preserve">Candida albicans </w:t>
      </w:r>
      <w:r w:rsidRPr="006F57C8">
        <w:rPr>
          <w:rFonts w:ascii="Arial" w:hAnsi="Arial" w:cs="Arial"/>
          <w:color w:val="373535"/>
          <w:w w:val="105"/>
          <w:sz w:val="20"/>
          <w:szCs w:val="20"/>
        </w:rPr>
        <w:t xml:space="preserve">es un hongo levaduriforme que por lo general crece en las mucosas de los aparatos digestivo y urogenital. Este organismo es responsable de la </w:t>
      </w:r>
      <w:r w:rsidRPr="006F57C8">
        <w:rPr>
          <w:rFonts w:ascii="Arial" w:hAnsi="Arial" w:cs="Arial"/>
          <w:b/>
          <w:bCs/>
          <w:color w:val="373535"/>
          <w:w w:val="105"/>
          <w:sz w:val="20"/>
          <w:szCs w:val="20"/>
        </w:rPr>
        <w:t>candidiasis vulvovaginal</w:t>
      </w:r>
      <w:r w:rsidRPr="006F57C8">
        <w:rPr>
          <w:rFonts w:ascii="Arial" w:hAnsi="Arial" w:cs="Arial"/>
          <w:color w:val="373535"/>
          <w:w w:val="105"/>
          <w:sz w:val="20"/>
          <w:szCs w:val="20"/>
        </w:rPr>
        <w:t xml:space="preserve">, la forma más común de </w:t>
      </w:r>
      <w:r w:rsidRPr="006F57C8">
        <w:rPr>
          <w:rFonts w:ascii="Arial" w:hAnsi="Arial" w:cs="Arial"/>
          <w:b/>
          <w:bCs/>
          <w:color w:val="373535"/>
          <w:w w:val="105"/>
          <w:sz w:val="20"/>
          <w:szCs w:val="20"/>
        </w:rPr>
        <w:t xml:space="preserve">vaginitis </w:t>
      </w:r>
      <w:r w:rsidRPr="006F57C8">
        <w:rPr>
          <w:rFonts w:ascii="Arial" w:hAnsi="Arial" w:cs="Arial"/>
          <w:color w:val="373535"/>
          <w:w w:val="105"/>
          <w:sz w:val="20"/>
          <w:szCs w:val="20"/>
        </w:rPr>
        <w:t xml:space="preserve">o inflamación de la vagina, que se caracteriza por intenso prurito, flujo espeso, amarillo y lechoso, olor a levadura y dolor. Este trastorno, experimentado al menos una vez por el 75% de las mujeres, suele ser el resultado de la proliferación del hongo, secundaria a tratamientos con antibióticos por otra infección. </w:t>
      </w:r>
    </w:p>
    <w:p w14:paraId="23C66634" w14:textId="7253338D" w:rsidR="006F57C8" w:rsidRPr="006F57C8" w:rsidRDefault="0035302D" w:rsidP="006F57C8">
      <w:pPr>
        <w:kinsoku w:val="0"/>
        <w:overflowPunct w:val="0"/>
        <w:autoSpaceDE w:val="0"/>
        <w:autoSpaceDN w:val="0"/>
        <w:adjustRightInd w:val="0"/>
        <w:spacing w:before="53" w:after="0" w:line="261" w:lineRule="auto"/>
        <w:ind w:right="1"/>
        <w:jc w:val="both"/>
        <w:rPr>
          <w:rFonts w:ascii="Arial" w:hAnsi="Arial" w:cs="Arial"/>
          <w:color w:val="373535"/>
          <w:w w:val="105"/>
          <w:sz w:val="20"/>
          <w:szCs w:val="20"/>
        </w:rPr>
      </w:pPr>
      <w:r>
        <w:rPr>
          <w:rFonts w:ascii="Arial" w:hAnsi="Arial" w:cs="Arial"/>
          <w:color w:val="373535"/>
          <w:w w:val="105"/>
          <w:sz w:val="20"/>
          <w:szCs w:val="20"/>
        </w:rPr>
        <w:t>Los factores pre</w:t>
      </w:r>
      <w:r w:rsidR="006F57C8" w:rsidRPr="006F57C8">
        <w:rPr>
          <w:rFonts w:ascii="Arial" w:hAnsi="Arial" w:cs="Arial"/>
          <w:color w:val="373535"/>
          <w:w w:val="105"/>
          <w:sz w:val="20"/>
          <w:szCs w:val="20"/>
        </w:rPr>
        <w:t>disponentes incluyen el consumo de anticonceptivos orales o medicación del tipo cortisona, el embarazo y la diabetes.</w:t>
      </w:r>
    </w:p>
    <w:p w14:paraId="0D4B98E2" w14:textId="77777777" w:rsidR="006F57C8" w:rsidRPr="006F57C8" w:rsidRDefault="006F57C8" w:rsidP="006F57C8">
      <w:pPr>
        <w:kinsoku w:val="0"/>
        <w:overflowPunct w:val="0"/>
        <w:autoSpaceDE w:val="0"/>
        <w:autoSpaceDN w:val="0"/>
        <w:adjustRightInd w:val="0"/>
        <w:spacing w:before="141" w:after="0" w:line="240" w:lineRule="auto"/>
        <w:jc w:val="both"/>
        <w:rPr>
          <w:rFonts w:ascii="Arial" w:hAnsi="Arial" w:cs="Arial"/>
          <w:b/>
          <w:bCs/>
          <w:color w:val="6C7391"/>
          <w:sz w:val="20"/>
          <w:szCs w:val="20"/>
        </w:rPr>
      </w:pPr>
      <w:r w:rsidRPr="006F57C8">
        <w:rPr>
          <w:rFonts w:ascii="Arial" w:hAnsi="Arial" w:cs="Arial"/>
          <w:b/>
          <w:bCs/>
          <w:color w:val="6C7391"/>
          <w:sz w:val="20"/>
          <w:szCs w:val="20"/>
        </w:rPr>
        <w:t>Enfermedades de transmisión sexual</w:t>
      </w:r>
    </w:p>
    <w:p w14:paraId="2834CE3A" w14:textId="221D3AA8" w:rsidR="006F57C8" w:rsidRDefault="006F57C8"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 xml:space="preserve">La </w:t>
      </w:r>
      <w:r w:rsidRPr="006F57C8">
        <w:rPr>
          <w:rFonts w:ascii="Arial" w:hAnsi="Arial" w:cs="Arial"/>
          <w:b/>
          <w:bCs/>
          <w:color w:val="373535"/>
          <w:w w:val="105"/>
          <w:sz w:val="20"/>
          <w:szCs w:val="20"/>
        </w:rPr>
        <w:t xml:space="preserve">enfermedad de transmisión sexual (ETS) </w:t>
      </w:r>
      <w:r w:rsidRPr="006F57C8">
        <w:rPr>
          <w:rFonts w:ascii="Arial" w:hAnsi="Arial" w:cs="Arial"/>
          <w:color w:val="373535"/>
          <w:w w:val="105"/>
          <w:sz w:val="20"/>
          <w:szCs w:val="20"/>
        </w:rPr>
        <w:t>es la que se contagia por contacto sexual. En los países más desarrollados del mundo, tales como los de Europa Occidental, Japón, Australia y Nueva Zelanda, la incidencia de ETS decayó notablemente durante los últimos 25 años. En los Estados Unidos, en contraste, las ETS aumentaron en proporciones epidémicas; éstas afectan actualmente a más de 65 millones de personas. El sida y la hepatitis B, que son enfermedades de transmisión sexual que también pueden contraerse por otras vías, se analizan en los Capítulos 22 y 24, respectivamente.</w:t>
      </w:r>
    </w:p>
    <w:p w14:paraId="566007B6" w14:textId="3D14B24D" w:rsidR="0035302D" w:rsidRDefault="0035302D"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p>
    <w:p w14:paraId="5E08FE00" w14:textId="1A053186" w:rsidR="0035302D" w:rsidRDefault="0035302D"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p>
    <w:p w14:paraId="5449AE41" w14:textId="29AEE5E1" w:rsidR="0035302D" w:rsidRDefault="0035302D"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p>
    <w:p w14:paraId="35B5C2A7" w14:textId="18F95950" w:rsidR="0035302D" w:rsidRDefault="0035302D"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p>
    <w:p w14:paraId="30E400F8" w14:textId="77777777" w:rsidR="0035302D" w:rsidRPr="006F57C8" w:rsidRDefault="0035302D" w:rsidP="006F57C8">
      <w:pPr>
        <w:kinsoku w:val="0"/>
        <w:overflowPunct w:val="0"/>
        <w:autoSpaceDE w:val="0"/>
        <w:autoSpaceDN w:val="0"/>
        <w:adjustRightInd w:val="0"/>
        <w:spacing w:before="107" w:after="0" w:line="261" w:lineRule="auto"/>
        <w:jc w:val="both"/>
        <w:rPr>
          <w:rFonts w:ascii="Arial" w:hAnsi="Arial" w:cs="Arial"/>
          <w:color w:val="373535"/>
          <w:w w:val="105"/>
          <w:sz w:val="20"/>
          <w:szCs w:val="20"/>
        </w:rPr>
      </w:pPr>
    </w:p>
    <w:p w14:paraId="0CD83C6C" w14:textId="77777777" w:rsidR="006F57C8" w:rsidRPr="006F57C8" w:rsidRDefault="006F57C8" w:rsidP="006F57C8">
      <w:pPr>
        <w:kinsoku w:val="0"/>
        <w:overflowPunct w:val="0"/>
        <w:autoSpaceDE w:val="0"/>
        <w:autoSpaceDN w:val="0"/>
        <w:adjustRightInd w:val="0"/>
        <w:spacing w:before="144"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Clamidiasis</w:t>
      </w:r>
    </w:p>
    <w:p w14:paraId="5E92BB4C" w14:textId="741F5910" w:rsidR="006F57C8" w:rsidRPr="006F57C8" w:rsidRDefault="006F57C8" w:rsidP="006F57C8">
      <w:pPr>
        <w:kinsoku w:val="0"/>
        <w:overflowPunct w:val="0"/>
        <w:autoSpaceDE w:val="0"/>
        <w:autoSpaceDN w:val="0"/>
        <w:adjustRightInd w:val="0"/>
        <w:spacing w:before="113"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 xml:space="preserve">La </w:t>
      </w:r>
      <w:r w:rsidRPr="006F57C8">
        <w:rPr>
          <w:rFonts w:ascii="Arial" w:hAnsi="Arial" w:cs="Arial"/>
          <w:b/>
          <w:bCs/>
          <w:color w:val="373535"/>
          <w:w w:val="105"/>
          <w:sz w:val="20"/>
          <w:szCs w:val="20"/>
        </w:rPr>
        <w:t xml:space="preserve">clamidiasis </w:t>
      </w:r>
      <w:r w:rsidRPr="006F57C8">
        <w:rPr>
          <w:rFonts w:ascii="Arial" w:hAnsi="Arial" w:cs="Arial"/>
          <w:color w:val="373535"/>
          <w:w w:val="105"/>
          <w:sz w:val="20"/>
          <w:szCs w:val="20"/>
        </w:rPr>
        <w:t xml:space="preserve">es una enfermedad de transmisión sexual causada por la bacteria </w:t>
      </w:r>
      <w:r w:rsidRPr="006F57C8">
        <w:rPr>
          <w:rFonts w:ascii="Arial" w:hAnsi="Arial" w:cs="Arial"/>
          <w:i/>
          <w:iCs/>
          <w:color w:val="373535"/>
          <w:w w:val="105"/>
          <w:sz w:val="20"/>
          <w:szCs w:val="20"/>
        </w:rPr>
        <w:t>Chlamydia trachomatis</w:t>
      </w:r>
      <w:r w:rsidRPr="006F57C8">
        <w:rPr>
          <w:rFonts w:ascii="Arial" w:hAnsi="Arial" w:cs="Arial"/>
          <w:color w:val="373535"/>
          <w:w w:val="105"/>
          <w:sz w:val="20"/>
          <w:szCs w:val="20"/>
        </w:rPr>
        <w:t>. Esta bacteria inusual no puede reproducirse fuera de las células del cuerpo; se “oculta” dentro de las células, donde se divide. En la actualidad, la clamidiasis es la enfermedad de transmisión sexual de mayor prevalencia en los Estados Unidos. En la mayoría de los casos, la infección inicial es asintomática y, por ende, difícil de detectar clínicamente. En el hombre, la uretritis es el principal hallazgo porque produce una secreción clara, ardor al orinar, micción frecuente y dolorosa. Sin tratamiento, también pueden inflamarse los epidídimos, produciéndose esterilidad. El 70% de las mujeres con clamidiasis no presenta síntomas, pero dicha patología es la principal causa de enfermedad inflamatoria pelviana. Las trompas uterinas también pueden inflamarse, lo que aumenta el riesgo de embarazo ectópico (implantación de un óvulo fecundado fuera del útero) y esterilidad, debido a la formación de tejido cicatrizal dentro de las trompas.</w:t>
      </w:r>
    </w:p>
    <w:p w14:paraId="3E283810" w14:textId="77777777" w:rsidR="006F57C8" w:rsidRPr="006F57C8" w:rsidRDefault="006F57C8" w:rsidP="006F57C8">
      <w:pPr>
        <w:kinsoku w:val="0"/>
        <w:overflowPunct w:val="0"/>
        <w:autoSpaceDE w:val="0"/>
        <w:autoSpaceDN w:val="0"/>
        <w:adjustRightInd w:val="0"/>
        <w:spacing w:before="86"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Gonorrea</w:t>
      </w:r>
    </w:p>
    <w:p w14:paraId="27FB9568" w14:textId="77777777" w:rsidR="006F57C8" w:rsidRPr="006F57C8" w:rsidRDefault="006F57C8" w:rsidP="006F57C8">
      <w:pPr>
        <w:kinsoku w:val="0"/>
        <w:overflowPunct w:val="0"/>
        <w:autoSpaceDE w:val="0"/>
        <w:autoSpaceDN w:val="0"/>
        <w:adjustRightInd w:val="0"/>
        <w:spacing w:before="114"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 xml:space="preserve">La </w:t>
      </w:r>
      <w:r w:rsidRPr="006F57C8">
        <w:rPr>
          <w:rFonts w:ascii="Arial" w:hAnsi="Arial" w:cs="Arial"/>
          <w:b/>
          <w:bCs/>
          <w:color w:val="373535"/>
          <w:w w:val="105"/>
          <w:sz w:val="20"/>
          <w:szCs w:val="20"/>
        </w:rPr>
        <w:t xml:space="preserve">gonorrea </w:t>
      </w:r>
      <w:r w:rsidRPr="006F57C8">
        <w:rPr>
          <w:rFonts w:ascii="Arial" w:hAnsi="Arial" w:cs="Arial"/>
          <w:color w:val="373535"/>
          <w:w w:val="105"/>
          <w:sz w:val="20"/>
          <w:szCs w:val="20"/>
        </w:rPr>
        <w:t xml:space="preserve">es causada por la bacteria </w:t>
      </w:r>
      <w:r w:rsidRPr="006F57C8">
        <w:rPr>
          <w:rFonts w:ascii="Arial" w:hAnsi="Arial" w:cs="Arial"/>
          <w:i/>
          <w:iCs/>
          <w:color w:val="373535"/>
          <w:w w:val="105"/>
          <w:sz w:val="20"/>
          <w:szCs w:val="20"/>
        </w:rPr>
        <w:t>Neisseria gonorrhoeae</w:t>
      </w:r>
      <w:r w:rsidRPr="006F57C8">
        <w:rPr>
          <w:rFonts w:ascii="Arial" w:hAnsi="Arial" w:cs="Arial"/>
          <w:color w:val="373535"/>
          <w:w w:val="105"/>
          <w:sz w:val="20"/>
          <w:szCs w:val="20"/>
        </w:rPr>
        <w:t>. En los Estados Unidos, aparecen cada año 1 a 2 millones de casos de gonorrea, la mayoría en individuos de entre 15 y 29 años. La secreción de las mucosas infectadas es la fuente de contagio de la bacteria, ya sea durante el contacto sexual o durante el pasaje del feto por el canal de parto. El sitio de infección puede ser la boca o la garganta luego de contacto buco-genital, en la vagina y el pene, luego de contacto genital, o en el recto luego del contacto recto-vaginal.</w:t>
      </w:r>
    </w:p>
    <w:p w14:paraId="1C4543DB" w14:textId="5DD63178" w:rsidR="006F57C8" w:rsidRPr="006F57C8" w:rsidRDefault="006F57C8" w:rsidP="0035302D">
      <w:pPr>
        <w:kinsoku w:val="0"/>
        <w:overflowPunct w:val="0"/>
        <w:autoSpaceDE w:val="0"/>
        <w:autoSpaceDN w:val="0"/>
        <w:adjustRightInd w:val="0"/>
        <w:spacing w:after="0" w:line="261" w:lineRule="auto"/>
        <w:jc w:val="both"/>
        <w:rPr>
          <w:rFonts w:ascii="Arial" w:hAnsi="Arial" w:cs="Arial"/>
          <w:color w:val="373535"/>
          <w:w w:val="105"/>
          <w:sz w:val="20"/>
          <w:szCs w:val="20"/>
        </w:rPr>
      </w:pPr>
      <w:r w:rsidRPr="006F57C8">
        <w:rPr>
          <w:rFonts w:ascii="Arial" w:hAnsi="Arial" w:cs="Arial"/>
          <w:color w:val="373535"/>
          <w:w w:val="105"/>
          <w:sz w:val="20"/>
          <w:szCs w:val="20"/>
        </w:rPr>
        <w:t>Los hombres suelen presentar uretritis con abundante secreción de pus y micciones dolorosas. La próstata y los epidídimos también pueden resultar infectados. En las mujeres, la infección se suele presentar en la vagina, habitualmente con flujo purulento. Sin embargo, tanto los hombres como las mujeres infectadas pueden portar la enfermedad sin presentar síntomas, hasta que progresa a un estadio más avanzado; alrededor de un 5-10% de los hombres y 50% de las mujeres permanecen asintomáticos. En las mujeres, la infección y la consecuente inflamación pueden pasar de la vagina al útero, las trompas uterinas y la cavidad pelviana. Alrededor de 50 000 a 80 000 mujeres en los Estados Unidos quedan infértiles debido a la gonorrea cada año, como resulta- do de la formación de tejido cicatrizal que cierra las trompas uterinas. Si la bacteria en el canal de parto se transmite a los ojos del recién nacido, puede causar ceguera. La administración de una solución al 1% de nitrato de plata en los ojos del neonato evita la infección.</w:t>
      </w:r>
    </w:p>
    <w:p w14:paraId="2848F1EA" w14:textId="77777777" w:rsidR="006F57C8" w:rsidRPr="006F57C8" w:rsidRDefault="006F57C8" w:rsidP="006F57C8">
      <w:pPr>
        <w:kinsoku w:val="0"/>
        <w:overflowPunct w:val="0"/>
        <w:autoSpaceDE w:val="0"/>
        <w:autoSpaceDN w:val="0"/>
        <w:adjustRightInd w:val="0"/>
        <w:spacing w:before="145"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Sífilis</w:t>
      </w:r>
    </w:p>
    <w:p w14:paraId="1175712E" w14:textId="1C654C36" w:rsidR="006F57C8" w:rsidRPr="006F57C8" w:rsidRDefault="006F57C8" w:rsidP="006F57C8">
      <w:pPr>
        <w:kinsoku w:val="0"/>
        <w:overflowPunct w:val="0"/>
        <w:autoSpaceDE w:val="0"/>
        <w:autoSpaceDN w:val="0"/>
        <w:adjustRightInd w:val="0"/>
        <w:spacing w:before="113" w:after="0" w:line="256" w:lineRule="auto"/>
        <w:ind w:hanging="1"/>
        <w:jc w:val="both"/>
        <w:rPr>
          <w:rFonts w:ascii="Arial" w:hAnsi="Arial" w:cs="Arial"/>
          <w:color w:val="373535"/>
          <w:w w:val="105"/>
          <w:sz w:val="20"/>
          <w:szCs w:val="20"/>
        </w:rPr>
      </w:pPr>
      <w:r w:rsidRPr="006F57C8">
        <w:rPr>
          <w:rFonts w:ascii="Arial" w:hAnsi="Arial" w:cs="Arial"/>
          <w:color w:val="373535"/>
          <w:w w:val="105"/>
          <w:sz w:val="20"/>
          <w:szCs w:val="20"/>
        </w:rPr>
        <w:t xml:space="preserve">La </w:t>
      </w:r>
      <w:r w:rsidRPr="006F57C8">
        <w:rPr>
          <w:rFonts w:ascii="Arial" w:hAnsi="Arial" w:cs="Arial"/>
          <w:b/>
          <w:bCs/>
          <w:color w:val="373535"/>
          <w:w w:val="105"/>
          <w:sz w:val="20"/>
          <w:szCs w:val="20"/>
        </w:rPr>
        <w:t>sífilis</w:t>
      </w:r>
      <w:r w:rsidRPr="006F57C8">
        <w:rPr>
          <w:rFonts w:ascii="Arial" w:hAnsi="Arial" w:cs="Arial"/>
          <w:color w:val="373535"/>
          <w:w w:val="105"/>
          <w:sz w:val="20"/>
          <w:szCs w:val="20"/>
        </w:rPr>
        <w:t xml:space="preserve">, causada por la bacteria </w:t>
      </w:r>
      <w:r w:rsidRPr="006F57C8">
        <w:rPr>
          <w:rFonts w:ascii="Arial" w:hAnsi="Arial" w:cs="Arial"/>
          <w:i/>
          <w:iCs/>
          <w:color w:val="373535"/>
          <w:w w:val="105"/>
          <w:sz w:val="20"/>
          <w:szCs w:val="20"/>
        </w:rPr>
        <w:t>Treponema pallidum</w:t>
      </w:r>
      <w:r w:rsidRPr="006F57C8">
        <w:rPr>
          <w:rFonts w:ascii="Arial" w:hAnsi="Arial" w:cs="Arial"/>
          <w:color w:val="373535"/>
          <w:w w:val="105"/>
          <w:sz w:val="20"/>
          <w:szCs w:val="20"/>
        </w:rPr>
        <w:t xml:space="preserve">, se transmite por medio del contacto sexual o transfusiones de sangre, o a través de la placenta hacia el feto. La enfermedad progresa en varias etapas. Durante la etapa primaria, el principal signo es una induración abierta indolora llamada </w:t>
      </w:r>
      <w:r w:rsidRPr="006F57C8">
        <w:rPr>
          <w:rFonts w:ascii="Arial" w:hAnsi="Arial" w:cs="Arial"/>
          <w:b/>
          <w:bCs/>
          <w:color w:val="373535"/>
          <w:w w:val="105"/>
          <w:sz w:val="20"/>
          <w:szCs w:val="20"/>
        </w:rPr>
        <w:t>chancro</w:t>
      </w:r>
      <w:r w:rsidRPr="006F57C8">
        <w:rPr>
          <w:rFonts w:ascii="Arial" w:hAnsi="Arial" w:cs="Arial"/>
          <w:color w:val="373535"/>
          <w:w w:val="105"/>
          <w:sz w:val="20"/>
          <w:szCs w:val="20"/>
        </w:rPr>
        <w:t>, en el sitio de inoculación. El chancro se cura en 1-5 semanas. Luego de 6 a 24 semanas, signos y síntomas como erupción cutánea (</w:t>
      </w:r>
      <w:r w:rsidRPr="006F57C8">
        <w:rPr>
          <w:rFonts w:ascii="Arial" w:hAnsi="Arial" w:cs="Arial"/>
          <w:i/>
          <w:iCs/>
          <w:color w:val="373535"/>
          <w:w w:val="105"/>
          <w:sz w:val="20"/>
          <w:szCs w:val="20"/>
        </w:rPr>
        <w:t>rash</w:t>
      </w:r>
      <w:r w:rsidRPr="006F57C8">
        <w:rPr>
          <w:rFonts w:ascii="Arial" w:hAnsi="Arial" w:cs="Arial"/>
          <w:color w:val="373535"/>
          <w:w w:val="105"/>
          <w:sz w:val="20"/>
          <w:szCs w:val="20"/>
        </w:rPr>
        <w:t xml:space="preserve">), fiebre y dolores en las articulaciones y los músculos dan inicio a la </w:t>
      </w:r>
      <w:r w:rsidRPr="006F57C8">
        <w:rPr>
          <w:rFonts w:ascii="Arial" w:hAnsi="Arial" w:cs="Arial"/>
          <w:i/>
          <w:iCs/>
          <w:color w:val="373535"/>
          <w:w w:val="105"/>
          <w:sz w:val="20"/>
          <w:szCs w:val="20"/>
        </w:rPr>
        <w:t>etapa secundaria</w:t>
      </w:r>
      <w:r w:rsidRPr="006F57C8">
        <w:rPr>
          <w:rFonts w:ascii="Arial" w:hAnsi="Arial" w:cs="Arial"/>
          <w:color w:val="373535"/>
          <w:w w:val="105"/>
          <w:sz w:val="20"/>
          <w:szCs w:val="20"/>
        </w:rPr>
        <w:t xml:space="preserve">, que es sistémica: la infección se disemina por los principales sistemas del cuerpo. Cuando aparecen signos de degeneración, se considera que se alcanzó la </w:t>
      </w:r>
      <w:r w:rsidRPr="006F57C8">
        <w:rPr>
          <w:rFonts w:ascii="Arial" w:hAnsi="Arial" w:cs="Arial"/>
          <w:i/>
          <w:iCs/>
          <w:color w:val="373535"/>
          <w:w w:val="105"/>
          <w:sz w:val="20"/>
          <w:szCs w:val="20"/>
        </w:rPr>
        <w:t>etapa terciaria</w:t>
      </w:r>
      <w:r w:rsidRPr="006F57C8">
        <w:rPr>
          <w:rFonts w:ascii="Arial" w:hAnsi="Arial" w:cs="Arial"/>
          <w:color w:val="373535"/>
          <w:w w:val="105"/>
          <w:sz w:val="20"/>
          <w:szCs w:val="20"/>
        </w:rPr>
        <w:t xml:space="preserve">, llamada </w:t>
      </w:r>
      <w:r w:rsidRPr="006F57C8">
        <w:rPr>
          <w:rFonts w:ascii="Arial" w:hAnsi="Arial" w:cs="Arial"/>
          <w:b/>
          <w:bCs/>
          <w:color w:val="373535"/>
          <w:w w:val="105"/>
          <w:sz w:val="20"/>
          <w:szCs w:val="20"/>
        </w:rPr>
        <w:t>neurosífilis</w:t>
      </w:r>
      <w:r w:rsidRPr="006F57C8">
        <w:rPr>
          <w:rFonts w:ascii="Arial" w:hAnsi="Arial" w:cs="Arial"/>
          <w:color w:val="373535"/>
          <w:w w:val="105"/>
          <w:sz w:val="20"/>
          <w:szCs w:val="20"/>
        </w:rPr>
        <w:t>. A medida que las áreas motoras resultan extensamente dañadas, los pacientes pueden perder la capacidad de controlar la micción y la defecación. Finalmente, pueden quedar postrados y con incapacidad de alimentarse a sí mismos. A su vez, el daño de la corteza cerebral produce pérdida de la memoria y cambios en la personalidad, que varían desde irritabilidad a alucinaciones.</w:t>
      </w:r>
    </w:p>
    <w:p w14:paraId="6183BD03" w14:textId="77777777" w:rsidR="006F57C8" w:rsidRPr="006F57C8" w:rsidRDefault="006F57C8" w:rsidP="006F57C8">
      <w:pPr>
        <w:kinsoku w:val="0"/>
        <w:overflowPunct w:val="0"/>
        <w:autoSpaceDE w:val="0"/>
        <w:autoSpaceDN w:val="0"/>
        <w:adjustRightInd w:val="0"/>
        <w:spacing w:before="2" w:after="0" w:line="240" w:lineRule="auto"/>
        <w:rPr>
          <w:rFonts w:ascii="Arial" w:hAnsi="Arial" w:cs="Arial"/>
          <w:sz w:val="20"/>
          <w:szCs w:val="20"/>
        </w:rPr>
      </w:pPr>
    </w:p>
    <w:p w14:paraId="15F70AFD" w14:textId="77777777" w:rsidR="006F57C8" w:rsidRPr="006F57C8" w:rsidRDefault="006F57C8" w:rsidP="006F57C8">
      <w:pPr>
        <w:kinsoku w:val="0"/>
        <w:overflowPunct w:val="0"/>
        <w:autoSpaceDE w:val="0"/>
        <w:autoSpaceDN w:val="0"/>
        <w:adjustRightInd w:val="0"/>
        <w:spacing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Herpes genital</w:t>
      </w:r>
    </w:p>
    <w:p w14:paraId="416D38CB" w14:textId="1447BDD2" w:rsidR="006F57C8" w:rsidRPr="006F57C8" w:rsidRDefault="006F57C8" w:rsidP="006F57C8">
      <w:pPr>
        <w:kinsoku w:val="0"/>
        <w:overflowPunct w:val="0"/>
        <w:autoSpaceDE w:val="0"/>
        <w:autoSpaceDN w:val="0"/>
        <w:adjustRightInd w:val="0"/>
        <w:spacing w:before="114" w:after="0" w:line="256" w:lineRule="auto"/>
        <w:jc w:val="both"/>
        <w:rPr>
          <w:rFonts w:ascii="Arial" w:hAnsi="Arial" w:cs="Arial"/>
          <w:color w:val="373535"/>
          <w:w w:val="105"/>
          <w:sz w:val="20"/>
          <w:szCs w:val="20"/>
        </w:rPr>
      </w:pPr>
      <w:r w:rsidRPr="006F57C8">
        <w:rPr>
          <w:rFonts w:ascii="Arial" w:hAnsi="Arial" w:cs="Arial"/>
          <w:color w:val="373535"/>
          <w:w w:val="105"/>
          <w:sz w:val="20"/>
          <w:szCs w:val="20"/>
        </w:rPr>
        <w:t xml:space="preserve">El </w:t>
      </w:r>
      <w:r w:rsidRPr="006F57C8">
        <w:rPr>
          <w:rFonts w:ascii="Arial" w:hAnsi="Arial" w:cs="Arial"/>
          <w:b/>
          <w:bCs/>
          <w:color w:val="373535"/>
          <w:w w:val="105"/>
          <w:sz w:val="20"/>
          <w:szCs w:val="20"/>
        </w:rPr>
        <w:t xml:space="preserve">herpes genital </w:t>
      </w:r>
      <w:r w:rsidRPr="006F57C8">
        <w:rPr>
          <w:rFonts w:ascii="Arial" w:hAnsi="Arial" w:cs="Arial"/>
          <w:color w:val="373535"/>
          <w:w w:val="105"/>
          <w:sz w:val="20"/>
          <w:szCs w:val="20"/>
        </w:rPr>
        <w:t>es una ETS incurable. El virus herpes simplex tipo II (HSV</w:t>
      </w:r>
      <w:r w:rsidRPr="006F57C8">
        <w:rPr>
          <w:rFonts w:ascii="Arial" w:hAnsi="Arial" w:cs="Arial"/>
          <w:color w:val="373535"/>
          <w:w w:val="105"/>
          <w:sz w:val="20"/>
          <w:szCs w:val="20"/>
        </w:rPr>
        <w:t>2) causa las infecciones genitales que producen ampollas dolorosas en el prepucio, glande y cuerpo del pene en los hombres, y en la vulva o a veces en el interior de la vagina, en las mujeres. Las ampollas desaparecen y reaparecen en la mayoría de los pacientes, pero el virus permanece en el cuerpo. Un virus relacionado, el virus herpes simplex tipo I (HSV</w:t>
      </w:r>
      <w:r w:rsidRPr="006F57C8">
        <w:rPr>
          <w:rFonts w:ascii="Arial" w:hAnsi="Arial" w:cs="Arial"/>
          <w:color w:val="373535"/>
          <w:w w:val="105"/>
          <w:sz w:val="20"/>
          <w:szCs w:val="20"/>
        </w:rPr>
        <w:t>1), produce aftas o úlceras en los labios y la boca. Los individuos infectados suelen presentar recurrencia de los síntomas varias veces al año.</w:t>
      </w:r>
    </w:p>
    <w:p w14:paraId="16289605" w14:textId="77777777" w:rsidR="006F57C8" w:rsidRPr="006F57C8" w:rsidRDefault="006F57C8" w:rsidP="006F57C8">
      <w:pPr>
        <w:kinsoku w:val="0"/>
        <w:overflowPunct w:val="0"/>
        <w:autoSpaceDE w:val="0"/>
        <w:autoSpaceDN w:val="0"/>
        <w:adjustRightInd w:val="0"/>
        <w:spacing w:before="151" w:after="0" w:line="240" w:lineRule="auto"/>
        <w:outlineLvl w:val="1"/>
        <w:rPr>
          <w:rFonts w:ascii="Arial" w:hAnsi="Arial" w:cs="Arial"/>
          <w:b/>
          <w:bCs/>
          <w:i/>
          <w:iCs/>
          <w:color w:val="6C7391"/>
          <w:sz w:val="20"/>
          <w:szCs w:val="20"/>
        </w:rPr>
      </w:pPr>
      <w:r w:rsidRPr="006F57C8">
        <w:rPr>
          <w:rFonts w:ascii="Arial" w:hAnsi="Arial" w:cs="Arial"/>
          <w:b/>
          <w:bCs/>
          <w:i/>
          <w:iCs/>
          <w:color w:val="6C7391"/>
          <w:sz w:val="20"/>
          <w:szCs w:val="20"/>
        </w:rPr>
        <w:t>Verrugas genitales</w:t>
      </w:r>
    </w:p>
    <w:p w14:paraId="56FE7AE8" w14:textId="726D371B" w:rsidR="006F57C8" w:rsidRPr="006F57C8" w:rsidRDefault="006F57C8" w:rsidP="0035302D">
      <w:pPr>
        <w:kinsoku w:val="0"/>
        <w:overflowPunct w:val="0"/>
        <w:autoSpaceDE w:val="0"/>
        <w:autoSpaceDN w:val="0"/>
        <w:adjustRightInd w:val="0"/>
        <w:spacing w:before="124" w:after="0"/>
        <w:jc w:val="both"/>
        <w:rPr>
          <w:rFonts w:ascii="Arial" w:hAnsi="Arial" w:cs="Arial"/>
          <w:color w:val="373535"/>
          <w:w w:val="105"/>
          <w:sz w:val="20"/>
          <w:szCs w:val="20"/>
        </w:rPr>
        <w:sectPr w:rsidR="006F57C8" w:rsidRPr="006F57C8" w:rsidSect="00C815D9">
          <w:type w:val="continuous"/>
          <w:pgSz w:w="13330" w:h="15590"/>
          <w:pgMar w:top="0" w:right="580" w:bottom="0" w:left="640" w:header="72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6F57C8">
        <w:rPr>
          <w:rFonts w:ascii="Arial" w:hAnsi="Arial" w:cs="Arial"/>
          <w:color w:val="373535"/>
          <w:w w:val="105"/>
          <w:sz w:val="20"/>
          <w:szCs w:val="20"/>
        </w:rPr>
        <w:t xml:space="preserve">Las verrugas son enfermedades infecciosas causadas por virus. El virus del papiloma humano (HPV) provoca </w:t>
      </w:r>
      <w:r w:rsidRPr="006F57C8">
        <w:rPr>
          <w:rFonts w:ascii="Arial" w:hAnsi="Arial" w:cs="Arial"/>
          <w:b/>
          <w:bCs/>
          <w:color w:val="373535"/>
          <w:w w:val="105"/>
          <w:sz w:val="20"/>
          <w:szCs w:val="20"/>
        </w:rPr>
        <w:t>verrugas genitales</w:t>
      </w:r>
      <w:r w:rsidRPr="006F57C8">
        <w:rPr>
          <w:rFonts w:ascii="Arial" w:hAnsi="Arial" w:cs="Arial"/>
          <w:color w:val="373535"/>
          <w:w w:val="105"/>
          <w:sz w:val="20"/>
          <w:szCs w:val="20"/>
        </w:rPr>
        <w:t>, que suelen transmitirse por contacto sexual. Cerca de un millón de personas al año desarrollan verrugas genitales en los Estados Unidos. Los pacientes con antecedentes de verrugas genitales pueden tener un riesgo mayor de cáncer de cuello uterino, vagina, ano, vulva y pene. No hay cura para las verrugas genitales. Sí una vacuna disponible (Gardasil</w:t>
      </w:r>
      <w:r w:rsidRPr="006F57C8">
        <w:rPr>
          <w:rFonts w:ascii="Arial" w:hAnsi="Arial" w:cs="Arial"/>
          <w:color w:val="373535"/>
          <w:w w:val="105"/>
          <w:sz w:val="20"/>
          <w:szCs w:val="20"/>
          <w:vertAlign w:val="superscript"/>
        </w:rPr>
        <w:t>®</w:t>
      </w:r>
      <w:r w:rsidRPr="006F57C8">
        <w:rPr>
          <w:rFonts w:ascii="Arial" w:hAnsi="Arial" w:cs="Arial"/>
          <w:color w:val="373535"/>
          <w:w w:val="105"/>
          <w:sz w:val="20"/>
          <w:szCs w:val="20"/>
        </w:rPr>
        <w:t>) contra ciertos tipos de HPV que causan el cáncer cervical y las verrugas genitales, recomendada para niñas de entre 11 y 12 año</w:t>
      </w:r>
      <w:r w:rsidR="00C815D9">
        <w:rPr>
          <w:rFonts w:ascii="Arial" w:hAnsi="Arial" w:cs="Arial"/>
          <w:color w:val="373535"/>
          <w:w w:val="105"/>
          <w:sz w:val="20"/>
          <w:szCs w:val="20"/>
        </w:rPr>
        <w:t>s</w:t>
      </w:r>
    </w:p>
    <w:p w14:paraId="372375CF" w14:textId="3110348E" w:rsidR="004A5F15" w:rsidRPr="0035302D" w:rsidRDefault="004A5F15" w:rsidP="0035302D">
      <w:pPr>
        <w:kinsoku w:val="0"/>
        <w:overflowPunct w:val="0"/>
        <w:autoSpaceDE w:val="0"/>
        <w:autoSpaceDN w:val="0"/>
        <w:adjustRightInd w:val="0"/>
        <w:spacing w:after="0" w:line="216" w:lineRule="exact"/>
        <w:outlineLvl w:val="0"/>
        <w:rPr>
          <w:rFonts w:ascii="Arial" w:hAnsi="Arial" w:cs="Arial"/>
          <w:color w:val="373535"/>
          <w:w w:val="105"/>
          <w:sz w:val="16"/>
          <w:szCs w:val="16"/>
        </w:rPr>
      </w:pPr>
    </w:p>
    <w:sectPr w:rsidR="004A5F15" w:rsidRPr="0035302D" w:rsidSect="00C815D9">
      <w:pgSz w:w="13330" w:h="15590"/>
      <w:pgMar w:top="0" w:right="1380" w:bottom="0" w:left="780" w:header="720" w:footer="720"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98" w:hanging="199"/>
      </w:pPr>
      <w:rPr>
        <w:rFonts w:ascii="Arial" w:hAnsi="Arial" w:cs="Arial"/>
        <w:b w:val="0"/>
        <w:bCs w:val="0"/>
        <w:color w:val="373535"/>
        <w:w w:val="142"/>
        <w:sz w:val="16"/>
        <w:szCs w:val="16"/>
      </w:rPr>
    </w:lvl>
    <w:lvl w:ilvl="1">
      <w:numFmt w:val="bullet"/>
      <w:lvlText w:val="•"/>
      <w:lvlJc w:val="left"/>
      <w:pPr>
        <w:ind w:left="706" w:hanging="199"/>
      </w:pPr>
    </w:lvl>
    <w:lvl w:ilvl="2">
      <w:numFmt w:val="bullet"/>
      <w:lvlText w:val="•"/>
      <w:lvlJc w:val="left"/>
      <w:pPr>
        <w:ind w:left="1212" w:hanging="199"/>
      </w:pPr>
    </w:lvl>
    <w:lvl w:ilvl="3">
      <w:numFmt w:val="bullet"/>
      <w:lvlText w:val="•"/>
      <w:lvlJc w:val="left"/>
      <w:pPr>
        <w:ind w:left="1719" w:hanging="199"/>
      </w:pPr>
    </w:lvl>
    <w:lvl w:ilvl="4">
      <w:numFmt w:val="bullet"/>
      <w:lvlText w:val="•"/>
      <w:lvlJc w:val="left"/>
      <w:pPr>
        <w:ind w:left="2225" w:hanging="199"/>
      </w:pPr>
    </w:lvl>
    <w:lvl w:ilvl="5">
      <w:numFmt w:val="bullet"/>
      <w:lvlText w:val="•"/>
      <w:lvlJc w:val="left"/>
      <w:pPr>
        <w:ind w:left="2732" w:hanging="199"/>
      </w:pPr>
    </w:lvl>
    <w:lvl w:ilvl="6">
      <w:numFmt w:val="bullet"/>
      <w:lvlText w:val="•"/>
      <w:lvlJc w:val="left"/>
      <w:pPr>
        <w:ind w:left="3238" w:hanging="199"/>
      </w:pPr>
    </w:lvl>
    <w:lvl w:ilvl="7">
      <w:numFmt w:val="bullet"/>
      <w:lvlText w:val="•"/>
      <w:lvlJc w:val="left"/>
      <w:pPr>
        <w:ind w:left="3745" w:hanging="199"/>
      </w:pPr>
    </w:lvl>
    <w:lvl w:ilvl="8">
      <w:numFmt w:val="bullet"/>
      <w:lvlText w:val="•"/>
      <w:lvlJc w:val="left"/>
      <w:pPr>
        <w:ind w:left="4251" w:hanging="199"/>
      </w:pPr>
    </w:lvl>
  </w:abstractNum>
  <w:abstractNum w:abstractNumId="1" w15:restartNumberingAfterBreak="0">
    <w:nsid w:val="00000403"/>
    <w:multiLevelType w:val="multilevel"/>
    <w:tmpl w:val="00000886"/>
    <w:lvl w:ilvl="0">
      <w:start w:val="28"/>
      <w:numFmt w:val="decimal"/>
      <w:lvlText w:val="%1"/>
      <w:lvlJc w:val="left"/>
      <w:pPr>
        <w:ind w:left="2626" w:hanging="375"/>
      </w:pPr>
    </w:lvl>
    <w:lvl w:ilvl="1">
      <w:start w:val="1"/>
      <w:numFmt w:val="decimal"/>
      <w:lvlText w:val="%1.%2"/>
      <w:lvlJc w:val="left"/>
      <w:pPr>
        <w:ind w:left="2626" w:hanging="375"/>
      </w:pPr>
      <w:rPr>
        <w:rFonts w:ascii="Times New Roman" w:hAnsi="Times New Roman" w:cs="Times New Roman"/>
        <w:b/>
        <w:bCs/>
        <w:color w:val="373535"/>
        <w:w w:val="100"/>
        <w:sz w:val="19"/>
        <w:szCs w:val="19"/>
      </w:rPr>
    </w:lvl>
    <w:lvl w:ilvl="2">
      <w:start w:val="1"/>
      <w:numFmt w:val="decimal"/>
      <w:lvlText w:val="%3."/>
      <w:lvlJc w:val="left"/>
      <w:pPr>
        <w:ind w:left="2612" w:hanging="193"/>
      </w:pPr>
      <w:rPr>
        <w:rFonts w:ascii="Times New Roman" w:hAnsi="Times New Roman" w:cs="Times New Roman"/>
        <w:b/>
        <w:bCs/>
        <w:color w:val="373535"/>
        <w:w w:val="100"/>
        <w:sz w:val="18"/>
        <w:szCs w:val="18"/>
      </w:rPr>
    </w:lvl>
    <w:lvl w:ilvl="3">
      <w:numFmt w:val="bullet"/>
      <w:lvlText w:val="•"/>
      <w:lvlJc w:val="left"/>
      <w:pPr>
        <w:ind w:left="5466" w:hanging="193"/>
      </w:pPr>
    </w:lvl>
    <w:lvl w:ilvl="4">
      <w:numFmt w:val="bullet"/>
      <w:lvlText w:val="•"/>
      <w:lvlJc w:val="left"/>
      <w:pPr>
        <w:ind w:left="6415" w:hanging="193"/>
      </w:pPr>
    </w:lvl>
    <w:lvl w:ilvl="5">
      <w:numFmt w:val="bullet"/>
      <w:lvlText w:val="•"/>
      <w:lvlJc w:val="left"/>
      <w:pPr>
        <w:ind w:left="7364" w:hanging="193"/>
      </w:pPr>
    </w:lvl>
    <w:lvl w:ilvl="6">
      <w:numFmt w:val="bullet"/>
      <w:lvlText w:val="•"/>
      <w:lvlJc w:val="left"/>
      <w:pPr>
        <w:ind w:left="8312" w:hanging="193"/>
      </w:pPr>
    </w:lvl>
    <w:lvl w:ilvl="7">
      <w:numFmt w:val="bullet"/>
      <w:lvlText w:val="•"/>
      <w:lvlJc w:val="left"/>
      <w:pPr>
        <w:ind w:left="9261" w:hanging="193"/>
      </w:pPr>
    </w:lvl>
    <w:lvl w:ilvl="8">
      <w:numFmt w:val="bullet"/>
      <w:lvlText w:val="•"/>
      <w:lvlJc w:val="left"/>
      <w:pPr>
        <w:ind w:left="10210" w:hanging="19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C8"/>
    <w:rsid w:val="0035302D"/>
    <w:rsid w:val="004A5F15"/>
    <w:rsid w:val="006F57C8"/>
    <w:rsid w:val="00BD28C8"/>
    <w:rsid w:val="00BF1114"/>
    <w:rsid w:val="00C8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0E12"/>
  <w15:chartTrackingRefBased/>
  <w15:docId w15:val="{B8223092-4171-4658-8003-2EA880A0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3266</Words>
  <Characters>17965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cp:revision>
  <cp:lastPrinted>2022-10-31T02:37:00Z</cp:lastPrinted>
  <dcterms:created xsi:type="dcterms:W3CDTF">2022-10-31T02:19:00Z</dcterms:created>
  <dcterms:modified xsi:type="dcterms:W3CDTF">2022-10-31T02:46:00Z</dcterms:modified>
</cp:coreProperties>
</file>