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78" w:rsidRPr="00381878" w:rsidRDefault="00381878">
      <w:pPr>
        <w:rPr>
          <w:b/>
        </w:rPr>
      </w:pPr>
      <w:r w:rsidRPr="00381878">
        <w:rPr>
          <w:b/>
        </w:rPr>
        <w:t>MARCO JURÍDICO</w:t>
      </w:r>
    </w:p>
    <w:p w:rsidR="00381878" w:rsidRDefault="00381878" w:rsidP="00381878">
      <w:r>
        <w:t xml:space="preserve">                                                                                                                     VALDEZ NADINA A.</w:t>
      </w:r>
    </w:p>
    <w:p w:rsidR="0009309F" w:rsidRDefault="0009309F" w:rsidP="00381878">
      <w:r>
        <w:t>SOCIEDAD POR ACCIONES SIMPLIFICADA – S.A.S.</w:t>
      </w:r>
    </w:p>
    <w:p w:rsidR="0009309F" w:rsidRDefault="0009309F" w:rsidP="00381878">
      <w:r>
        <w:t xml:space="preserve"> </w:t>
      </w:r>
    </w:p>
    <w:p w:rsidR="0009309F" w:rsidRDefault="0009309F" w:rsidP="0009309F">
      <w:r>
        <w:t xml:space="preserve">  1-</w:t>
      </w:r>
      <w:r w:rsidRPr="0009309F">
        <w:t xml:space="preserve"> </w:t>
      </w:r>
      <w:r>
        <w:t>Si la</w:t>
      </w:r>
      <w:r w:rsidRPr="0009309F">
        <w:t xml:space="preserve"> SAS se constituye a través de un "instrumento constitutivo" tipo o modelo, el art. 38 de la ley 27.349 </w:t>
      </w:r>
      <w:r w:rsidRPr="00C129D5">
        <w:rPr>
          <w:b/>
        </w:rPr>
        <w:t>asegura su inscripción registral dentro del plazo de veinticuatro horas contado desde el día hábil siguiente al de la presentación, es decir que la publicidad en el Boletín Oficial</w:t>
      </w:r>
      <w:r w:rsidRPr="0009309F">
        <w:t xml:space="preserve"> a la que hace referencia el art. 37 de la Ley, se verificará el mismo día de la inscripción o incluso con posterioridad a ésta.</w:t>
      </w:r>
    </w:p>
    <w:p w:rsidR="00C129D5" w:rsidRDefault="0009309F" w:rsidP="0009309F">
      <w:r>
        <w:t>2-</w:t>
      </w:r>
      <w:r w:rsidR="00C129D5">
        <w:t xml:space="preserve"> </w:t>
      </w:r>
      <w:r w:rsidRPr="0009309F">
        <w:t xml:space="preserve">En relación a las inscripciones societarias y los medios registrales empleados, se constata los avances hacia la generación de un sistema de incorporación de datos y archivo electrónico de: </w:t>
      </w:r>
      <w:r w:rsidRPr="00C129D5">
        <w:rPr>
          <w:b/>
        </w:rPr>
        <w:t>a) inscripciones electrónicas; b) certificaciones electrónicas de los actos inscriptos; c) efectos frente a terceros de los actos inscriptos electrónicamente; d) introducción de más de un idioma en el sistema de inscripción y difusión, y</w:t>
      </w:r>
      <w:r w:rsidR="00C129D5">
        <w:rPr>
          <w:b/>
        </w:rPr>
        <w:t xml:space="preserve"> </w:t>
      </w:r>
      <w:r w:rsidRPr="00C129D5">
        <w:rPr>
          <w:b/>
        </w:rPr>
        <w:t xml:space="preserve"> e) identificación registral en los documentos mercantiles de las sociedades</w:t>
      </w:r>
      <w:r w:rsidR="00C129D5">
        <w:rPr>
          <w:b/>
        </w:rPr>
        <w:t>.</w:t>
      </w:r>
      <w:r w:rsidRPr="0009309F">
        <w:t xml:space="preserve"> </w:t>
      </w:r>
      <w:r w:rsidR="00C129D5">
        <w:t xml:space="preserve"> </w:t>
      </w:r>
    </w:p>
    <w:p w:rsidR="00C129D5" w:rsidRDefault="00C129D5" w:rsidP="00C129D5">
      <w:r>
        <w:t xml:space="preserve">  3- </w:t>
      </w:r>
      <w:r w:rsidRPr="00C129D5">
        <w:t xml:space="preserve"> </w:t>
      </w:r>
      <w:r>
        <w:t>En</w:t>
      </w:r>
      <w:r w:rsidRPr="00C129D5">
        <w:t xml:space="preserve"> relación al método electrónico de inscripción registral de empresas y acceso al registro, que presenta las siguientes ventajas:</w:t>
      </w:r>
    </w:p>
    <w:p w:rsidR="00C129D5" w:rsidRDefault="00C129D5" w:rsidP="00C129D5">
      <w:r>
        <w:t xml:space="preserve">a) mejora el acceso para las pequeñas empresas que operan lejos de las oficinas del registro; </w:t>
      </w:r>
    </w:p>
    <w:p w:rsidR="00C129D5" w:rsidRDefault="00C129D5" w:rsidP="00C129D5">
      <w:r>
        <w:t>b) reduce en gran medida el tiempo y los gastos que implica para el empresario cumplir las diversas etapas del proceso de inscripción y, por consiguiente, el tiempo y los gastos necesarios para que una empresa quede definitivamente inscripta así como el costo diario del funcionamiento del registro;</w:t>
      </w:r>
    </w:p>
    <w:p w:rsidR="00C129D5" w:rsidRDefault="00C129D5" w:rsidP="00C129D5">
      <w:r>
        <w:t xml:space="preserve">c) permite responder al creciente número de solicitudes de información sobre empresas que formulan otras autoridades públicas; </w:t>
      </w:r>
    </w:p>
    <w:p w:rsidR="00C129D5" w:rsidRDefault="00C129D5" w:rsidP="00C129D5">
      <w:r>
        <w:t xml:space="preserve">d) reduce las posibilidades de que el personal del registra cometa actos fraudulentos o de corrupción; </w:t>
      </w:r>
    </w:p>
    <w:p w:rsidR="0012109C" w:rsidRDefault="00C129D5" w:rsidP="00C129D5">
      <w:r>
        <w:t>e) disminuye el riesgo de que el registro incurra en responsabilidad por las pérdidas que por el contrario podrían sufrir los usuarios si el personal del registro no ingresara correctamente la información consignada en una solicitud de inscripción.</w:t>
      </w:r>
    </w:p>
    <w:p w:rsidR="0012109C" w:rsidRDefault="0012109C" w:rsidP="0012109C">
      <w:pPr>
        <w:rPr>
          <w:b/>
        </w:rPr>
      </w:pPr>
      <w:r>
        <w:t xml:space="preserve">4- </w:t>
      </w:r>
      <w:r w:rsidRPr="0012109C">
        <w:t xml:space="preserve">La SAS podrá ser constituida por una o más personas humanas o jurídicas (art. 34), es decir, se admite la constitución de la SAS a través de una declaración unilateral o plurilateral de voluntad, y a diferencia de la Sociedad Anónima Unipersonal (SAU), la modificación de su elenco de socios durante su funcionamiento, </w:t>
      </w:r>
      <w:r w:rsidRPr="0012109C">
        <w:rPr>
          <w:b/>
        </w:rPr>
        <w:t>no comportará el cambio de la denominación social.</w:t>
      </w:r>
    </w:p>
    <w:p w:rsidR="0012109C" w:rsidRPr="0012109C" w:rsidRDefault="0012109C">
      <w:pPr>
        <w:rPr>
          <w:b/>
        </w:rPr>
      </w:pPr>
      <w:r>
        <w:t xml:space="preserve"> 5-  </w:t>
      </w:r>
      <w:r w:rsidRPr="0012109C">
        <w:rPr>
          <w:b/>
        </w:rPr>
        <w:t>La SAS podrá ser constituida a través de dos formas y medios (art. 35).</w:t>
      </w:r>
    </w:p>
    <w:p w:rsidR="0012109C" w:rsidRDefault="0012109C">
      <w:r w:rsidRPr="0012109C">
        <w:rPr>
          <w:b/>
        </w:rPr>
        <w:lastRenderedPageBreak/>
        <w:t>En primer término</w:t>
      </w:r>
      <w:r w:rsidRPr="0012109C">
        <w:t>, por instrumento público o privado con la firma de los socios certificada en forma judicial, notarial, bancaria o por autoridad competente del Registro Público competente.</w:t>
      </w:r>
    </w:p>
    <w:p w:rsidR="00E4145F" w:rsidRDefault="0012109C" w:rsidP="0012109C">
      <w:r>
        <w:t xml:space="preserve">  </w:t>
      </w:r>
      <w:r w:rsidRPr="0012109C">
        <w:rPr>
          <w:b/>
        </w:rPr>
        <w:t>También la SAS podrá constituirse</w:t>
      </w:r>
      <w:r w:rsidRPr="0012109C">
        <w:t xml:space="preserve"> por medios digitales con firma digital. En este supuesto el instrumento deberá ser remitido al Registro Público a los fines de su inscripción, "en el formato de archivo digital que oportunamente se establezca" por vía reglamentaria (art. 35, segundo párrafo).</w:t>
      </w:r>
    </w:p>
    <w:p w:rsidR="00E4145F" w:rsidRDefault="00E4145F" w:rsidP="00E4145F">
      <w:pPr>
        <w:rPr>
          <w:b/>
        </w:rPr>
      </w:pPr>
      <w:r>
        <w:t xml:space="preserve">6- </w:t>
      </w:r>
      <w:r w:rsidRPr="00E4145F">
        <w:t xml:space="preserve">El capital establecido en el instrumento constitutivo no podrá ser inferior al importe equivalente a dos veces el salario mínimo vital y móvil (art. 40, Ley), y </w:t>
      </w:r>
      <w:r w:rsidRPr="00E4145F">
        <w:rPr>
          <w:b/>
        </w:rPr>
        <w:t>cabe interpretar que los Registros Públicos no podrán exigir un capital superior cualquiera sea el objeto social, de modo que la regla del monto del capital social y su relación con el objeto no será de aplicación</w:t>
      </w:r>
    </w:p>
    <w:p w:rsidR="0026524E" w:rsidRDefault="00E4145F" w:rsidP="00E4145F">
      <w:pPr>
        <w:rPr>
          <w:b/>
        </w:rPr>
      </w:pPr>
      <w:r>
        <w:t xml:space="preserve"> </w:t>
      </w:r>
      <w:r w:rsidRPr="00E4145F">
        <w:t>7</w:t>
      </w:r>
      <w:r>
        <w:t>-</w:t>
      </w:r>
      <w:r w:rsidRPr="00E4145F">
        <w:t xml:space="preserve"> </w:t>
      </w:r>
      <w:r>
        <w:t xml:space="preserve"> </w:t>
      </w:r>
      <w:r w:rsidRPr="00E4145F">
        <w:t xml:space="preserve"> En relación al plazo de duración establecido en este inciso, cabe recordar que una norma de similar contenido prevé la LGS para los gerentes de la SRL (art. 157) y directores de la SA (art. 257), y </w:t>
      </w:r>
      <w:r w:rsidRPr="00E4145F">
        <w:rPr>
          <w:b/>
        </w:rPr>
        <w:t>si bien la norma determina que deberá fijarse el plazo de duración en los cargos, respecto a los administradores éste podrá ser determinado o indeterminado, según el art. 50 de la Ley el cual prevalece en su interpretación y aplicación;</w:t>
      </w:r>
    </w:p>
    <w:p w:rsidR="00952764" w:rsidRPr="002369C6" w:rsidRDefault="0026524E" w:rsidP="0026524E">
      <w:pPr>
        <w:rPr>
          <w:b/>
        </w:rPr>
      </w:pPr>
      <w:r>
        <w:t xml:space="preserve">8- </w:t>
      </w:r>
      <w:r w:rsidRPr="002369C6">
        <w:rPr>
          <w:b/>
        </w:rPr>
        <w:t>En una SAS corresponde a un órgano de administración integrado por 1 o más administradores, en una SRL está a cargo de una gerencia integrada por 1 o más gerentes y en una SA corresponde a un directorio integrado por 1 o más directores.</w:t>
      </w:r>
    </w:p>
    <w:p w:rsidR="00952764" w:rsidRDefault="00952764" w:rsidP="00952764">
      <w:r>
        <w:t xml:space="preserve"> </w:t>
      </w:r>
      <w:r w:rsidRPr="00952764">
        <w:t>La administración de la SAS estará a cargo de una o más personas humanas, socios o no, designados por plazo determinado o indeterminado en el instrumento constitutivo o posteriormente. Deberá designarse por lo menos un suplente, en caso de que se prescinda del órgano de fiscalización</w:t>
      </w:r>
      <w:r>
        <w:t>.</w:t>
      </w:r>
    </w:p>
    <w:p w:rsidR="002369C6" w:rsidRDefault="002369C6" w:rsidP="00952764">
      <w:r>
        <w:t xml:space="preserve">9- </w:t>
      </w:r>
      <w:r w:rsidRPr="002369C6">
        <w:rPr>
          <w:b/>
        </w:rPr>
        <w:t>La Ley incorpora medios de comunicación electrónicos para la citación a las reuniones,</w:t>
      </w:r>
      <w:r w:rsidRPr="002369C6">
        <w:t xml:space="preserve"> disponiendo además que éstas podrán realizarse "en la sede social o fuera de ella", lo cual </w:t>
      </w:r>
      <w:bookmarkStart w:id="0" w:name="_GoBack"/>
      <w:bookmarkEnd w:id="0"/>
      <w:r w:rsidRPr="002369C6">
        <w:t xml:space="preserve">viabiliza la posibilidad que la misma se celebre en el </w:t>
      </w:r>
      <w:proofErr w:type="gramStart"/>
      <w:r w:rsidRPr="002369C6">
        <w:t>extranjero .</w:t>
      </w:r>
      <w:proofErr w:type="gramEnd"/>
    </w:p>
    <w:p w:rsidR="002369C6" w:rsidRDefault="002369C6" w:rsidP="002369C6">
      <w:pPr>
        <w:rPr>
          <w:b/>
          <w:u w:val="single"/>
        </w:rPr>
      </w:pPr>
      <w:r w:rsidRPr="002369C6">
        <w:rPr>
          <w:b/>
        </w:rPr>
        <w:t xml:space="preserve">El art. 49 prevé las reuniones </w:t>
      </w:r>
      <w:proofErr w:type="spellStart"/>
      <w:r w:rsidRPr="002369C6">
        <w:rPr>
          <w:b/>
        </w:rPr>
        <w:t>autoconvocadas</w:t>
      </w:r>
      <w:proofErr w:type="spellEnd"/>
      <w:r w:rsidRPr="002369C6">
        <w:rPr>
          <w:b/>
        </w:rPr>
        <w:t xml:space="preserve">, </w:t>
      </w:r>
      <w:r w:rsidRPr="002369C6">
        <w:rPr>
          <w:b/>
          <w:u w:val="single"/>
        </w:rPr>
        <w:t>sin citación previa, lo cual comporta una novedad</w:t>
      </w:r>
    </w:p>
    <w:p w:rsidR="002369C6" w:rsidRDefault="002369C6" w:rsidP="002369C6">
      <w:r>
        <w:t xml:space="preserve">10- </w:t>
      </w:r>
      <w:r>
        <w:t>La SAS deberá confeccionar sus estados contables, a la fecha del cierre de su ejercicio que está consignada en el instrumento constitutivo.</w:t>
      </w:r>
    </w:p>
    <w:p w:rsidR="002369C6" w:rsidRPr="002369C6" w:rsidRDefault="0008786D" w:rsidP="002369C6">
      <w:pPr>
        <w:rPr>
          <w:u w:val="single"/>
        </w:rPr>
      </w:pPr>
      <w:r>
        <w:t xml:space="preserve"> </w:t>
      </w:r>
      <w:r w:rsidR="002369C6" w:rsidRPr="002369C6">
        <w:rPr>
          <w:b/>
        </w:rPr>
        <w:t xml:space="preserve">Los estados contables de la SAS no deben presentarse ante el Registro Público ni ante la Autoridad de contralor estatal. </w:t>
      </w:r>
      <w:r w:rsidR="002369C6" w:rsidRPr="002369C6">
        <w:rPr>
          <w:u w:val="single"/>
        </w:rPr>
        <w:t>En cambio, se presentarán ante la Administración Federal de Ingresos Públicos (AFIP) y otros</w:t>
      </w:r>
    </w:p>
    <w:p w:rsidR="002369C6" w:rsidRDefault="0008786D" w:rsidP="002369C6">
      <w:r>
        <w:t xml:space="preserve">11- </w:t>
      </w:r>
      <w:r w:rsidRPr="0008786D">
        <w:t xml:space="preserve">La SAS deberá llevar cuatro libros: a) de actas; b) de registro de acciones; c) diario y d) de inventario y </w:t>
      </w:r>
      <w:proofErr w:type="gramStart"/>
      <w:r w:rsidRPr="0008786D">
        <w:t>balances .</w:t>
      </w:r>
      <w:proofErr w:type="gramEnd"/>
    </w:p>
    <w:p w:rsidR="002369C6" w:rsidRDefault="002369C6" w:rsidP="002369C6"/>
    <w:p w:rsidR="002369C6" w:rsidRDefault="002369C6" w:rsidP="002369C6"/>
    <w:p w:rsidR="002369C6" w:rsidRDefault="002369C6" w:rsidP="002369C6"/>
    <w:p w:rsidR="002369C6" w:rsidRPr="002369C6" w:rsidRDefault="002369C6" w:rsidP="002369C6"/>
    <w:sectPr w:rsidR="002369C6" w:rsidRPr="002369C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B61" w:rsidRDefault="00617B61" w:rsidP="0012109C">
      <w:pPr>
        <w:spacing w:after="0" w:line="240" w:lineRule="auto"/>
      </w:pPr>
      <w:r>
        <w:separator/>
      </w:r>
    </w:p>
  </w:endnote>
  <w:endnote w:type="continuationSeparator" w:id="0">
    <w:p w:rsidR="00617B61" w:rsidRDefault="00617B61" w:rsidP="0012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B61" w:rsidRDefault="00617B61" w:rsidP="0012109C">
      <w:pPr>
        <w:spacing w:after="0" w:line="240" w:lineRule="auto"/>
      </w:pPr>
      <w:r>
        <w:separator/>
      </w:r>
    </w:p>
  </w:footnote>
  <w:footnote w:type="continuationSeparator" w:id="0">
    <w:p w:rsidR="00617B61" w:rsidRDefault="00617B61" w:rsidP="00121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78"/>
    <w:rsid w:val="0008786D"/>
    <w:rsid w:val="0009309F"/>
    <w:rsid w:val="0012109C"/>
    <w:rsid w:val="002369C6"/>
    <w:rsid w:val="0026524E"/>
    <w:rsid w:val="00381878"/>
    <w:rsid w:val="00573C60"/>
    <w:rsid w:val="00617B61"/>
    <w:rsid w:val="00952764"/>
    <w:rsid w:val="00C129D5"/>
    <w:rsid w:val="00E4145F"/>
    <w:rsid w:val="00E73E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10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09C"/>
  </w:style>
  <w:style w:type="paragraph" w:styleId="Piedepgina">
    <w:name w:val="footer"/>
    <w:basedOn w:val="Normal"/>
    <w:link w:val="PiedepginaCar"/>
    <w:uiPriority w:val="99"/>
    <w:unhideWhenUsed/>
    <w:rsid w:val="001210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10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109C"/>
  </w:style>
  <w:style w:type="paragraph" w:styleId="Piedepgina">
    <w:name w:val="footer"/>
    <w:basedOn w:val="Normal"/>
    <w:link w:val="PiedepginaCar"/>
    <w:uiPriority w:val="99"/>
    <w:unhideWhenUsed/>
    <w:rsid w:val="001210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808</Words>
  <Characters>4449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2022-11-02T21:03:00Z</cp:lastPrinted>
  <dcterms:created xsi:type="dcterms:W3CDTF">2022-11-02T17:08:00Z</dcterms:created>
  <dcterms:modified xsi:type="dcterms:W3CDTF">2022-11-02T21:05:00Z</dcterms:modified>
</cp:coreProperties>
</file>