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3ABB" w14:textId="72593244" w:rsidR="003B12B4" w:rsidRDefault="00000000">
      <w:r>
        <w:t>Actividades para subir a NODOS</w:t>
      </w:r>
      <w:r w:rsidR="006E0973">
        <w:t xml:space="preserve">                  Nicolas Gelvez</w:t>
      </w:r>
    </w:p>
    <w:p w14:paraId="0981070E" w14:textId="77777777" w:rsidR="003B12B4" w:rsidRDefault="00000000">
      <w:pPr>
        <w:numPr>
          <w:ilvl w:val="0"/>
          <w:numId w:val="4"/>
        </w:numPr>
        <w:pBdr>
          <w:top w:val="nil"/>
          <w:left w:val="nil"/>
          <w:bottom w:val="nil"/>
          <w:right w:val="nil"/>
          <w:between w:val="nil"/>
        </w:pBdr>
        <w:spacing w:after="0"/>
      </w:pPr>
      <w:r>
        <w:rPr>
          <w:color w:val="000000"/>
        </w:rPr>
        <w:t xml:space="preserve">Confeccionar en el cuaderno de clase una </w:t>
      </w:r>
      <w:proofErr w:type="gramStart"/>
      <w:r>
        <w:rPr>
          <w:color w:val="000000"/>
        </w:rPr>
        <w:t>carátula ,</w:t>
      </w:r>
      <w:proofErr w:type="gramEnd"/>
      <w:r>
        <w:rPr>
          <w:color w:val="000000"/>
        </w:rPr>
        <w:t xml:space="preserve"> en la cuál se colocará la palabra MACROECONOMÏA</w:t>
      </w:r>
    </w:p>
    <w:p w14:paraId="35F865F3" w14:textId="77777777" w:rsidR="003B12B4" w:rsidRDefault="00000000">
      <w:pPr>
        <w:numPr>
          <w:ilvl w:val="0"/>
          <w:numId w:val="4"/>
        </w:numPr>
        <w:pBdr>
          <w:top w:val="nil"/>
          <w:left w:val="nil"/>
          <w:bottom w:val="nil"/>
          <w:right w:val="nil"/>
          <w:between w:val="nil"/>
        </w:pBdr>
        <w:spacing w:after="0"/>
      </w:pPr>
      <w:r>
        <w:rPr>
          <w:color w:val="000000"/>
        </w:rPr>
        <w:t>En la siguiente hoja, se responderá el cuestionario, que se encuentra a continuación</w:t>
      </w:r>
      <w:r>
        <w:rPr>
          <w:rFonts w:ascii="Wingdings" w:eastAsia="Wingdings" w:hAnsi="Wingdings" w:cs="Wingdings"/>
          <w:color w:val="000000"/>
        </w:rPr>
        <w:t>☹</w:t>
      </w:r>
      <w:r>
        <w:rPr>
          <w:color w:val="000000"/>
        </w:rPr>
        <w:t xml:space="preserve"> las respuestas deben ser extraídas </w:t>
      </w:r>
      <w:proofErr w:type="gramStart"/>
      <w:r>
        <w:rPr>
          <w:color w:val="000000"/>
        </w:rPr>
        <w:t>del  texto</w:t>
      </w:r>
      <w:proofErr w:type="gramEnd"/>
      <w:r>
        <w:rPr>
          <w:color w:val="000000"/>
        </w:rPr>
        <w:t xml:space="preserve"> de dinero y bancos)</w:t>
      </w:r>
    </w:p>
    <w:p w14:paraId="156BE828" w14:textId="77777777" w:rsidR="003B12B4" w:rsidRDefault="00000000">
      <w:pPr>
        <w:numPr>
          <w:ilvl w:val="0"/>
          <w:numId w:val="5"/>
        </w:numPr>
        <w:pBdr>
          <w:top w:val="nil"/>
          <w:left w:val="nil"/>
          <w:bottom w:val="nil"/>
          <w:right w:val="nil"/>
          <w:between w:val="nil"/>
        </w:pBdr>
      </w:pPr>
      <w:r>
        <w:rPr>
          <w:color w:val="000000"/>
        </w:rPr>
        <w:t>Defina dinero</w:t>
      </w:r>
    </w:p>
    <w:p w14:paraId="67B607F1" w14:textId="77777777" w:rsidR="003B12B4" w:rsidRDefault="00000000">
      <w:r>
        <w:rPr>
          <w:rFonts w:ascii="Arial" w:eastAsia="Arial" w:hAnsi="Arial" w:cs="Arial"/>
          <w:color w:val="252525"/>
          <w:sz w:val="21"/>
          <w:szCs w:val="21"/>
        </w:rPr>
        <w:t>El dinero es cualquier objeto de valor claramente identificable que es aceptado de forma genérica para el pago de bienes, servicios y deudas en un mercado o lo que es moneda de curso legal dentro de un país.</w:t>
      </w:r>
    </w:p>
    <w:p w14:paraId="4D5B9858" w14:textId="77777777" w:rsidR="003B12B4" w:rsidRDefault="00000000">
      <w:pPr>
        <w:numPr>
          <w:ilvl w:val="0"/>
          <w:numId w:val="5"/>
        </w:numPr>
        <w:pBdr>
          <w:top w:val="nil"/>
          <w:left w:val="nil"/>
          <w:bottom w:val="nil"/>
          <w:right w:val="nil"/>
          <w:between w:val="nil"/>
        </w:pBdr>
      </w:pPr>
      <w:r>
        <w:rPr>
          <w:color w:val="000000"/>
        </w:rPr>
        <w:t>Explique la evolución del dinero</w:t>
      </w:r>
    </w:p>
    <w:p w14:paraId="4DF0421B" w14:textId="77777777" w:rsidR="003B12B4" w:rsidRDefault="00000000">
      <w:pPr>
        <w:rPr>
          <w:rFonts w:ascii="Arial" w:eastAsia="Arial" w:hAnsi="Arial" w:cs="Arial"/>
          <w:color w:val="252525"/>
          <w:sz w:val="21"/>
          <w:szCs w:val="21"/>
        </w:rPr>
      </w:pPr>
      <w:r>
        <w:rPr>
          <w:rFonts w:ascii="Arial" w:eastAsia="Arial" w:hAnsi="Arial" w:cs="Arial"/>
          <w:color w:val="252525"/>
          <w:sz w:val="21"/>
          <w:szCs w:val="21"/>
        </w:rPr>
        <w:t xml:space="preserve">Desde la antigüedad las personas han cambiado los objetos de valor, ya sea en el intercambio de regalos o bien en los mercados de los que un sistema común de fichas es más conveniente. </w:t>
      </w:r>
    </w:p>
    <w:p w14:paraId="1524F35B" w14:textId="77777777" w:rsidR="003B12B4" w:rsidRDefault="00000000">
      <w:pPr>
        <w:rPr>
          <w:rFonts w:ascii="Arial" w:eastAsia="Arial" w:hAnsi="Arial" w:cs="Arial"/>
          <w:color w:val="252525"/>
          <w:sz w:val="21"/>
          <w:szCs w:val="21"/>
          <w:highlight w:val="white"/>
        </w:rPr>
      </w:pPr>
      <w:r>
        <w:rPr>
          <w:rFonts w:ascii="Arial" w:eastAsia="Arial" w:hAnsi="Arial" w:cs="Arial"/>
          <w:color w:val="252525"/>
          <w:sz w:val="21"/>
          <w:szCs w:val="21"/>
          <w:highlight w:val="white"/>
        </w:rPr>
        <w:t>A lo largo de la historia, se han utilizado muchos tipos de bienes como medios generales de pago. A lo largo del tiempo se ha buscado bienes con un valor estable, de alto valor en relación con su volumen y disponible en cantidades suficientes a las exigencias. También se ha exigido que sean bienes fácilmente almacenables, que puedan ser transportados sin dificultad, divisibles, inalterables y no perecederos. De acuerdo con los criterios expuestos anteriormente, las sociedades fueron seleccionando algunos metales como el oro, la plata y cobre como bienes óptimos para funcionar como dinero</w:t>
      </w:r>
    </w:p>
    <w:p w14:paraId="4598B2F7" w14:textId="77777777" w:rsidR="003B12B4" w:rsidRDefault="003B12B4">
      <w:pPr>
        <w:pBdr>
          <w:top w:val="nil"/>
          <w:left w:val="nil"/>
          <w:bottom w:val="nil"/>
          <w:right w:val="nil"/>
          <w:between w:val="nil"/>
        </w:pBdr>
        <w:shd w:val="clear" w:color="auto" w:fill="FFFFFF"/>
        <w:spacing w:before="120" w:after="120" w:line="240" w:lineRule="auto"/>
        <w:ind w:left="1440"/>
        <w:rPr>
          <w:rFonts w:ascii="Arial" w:eastAsia="Arial" w:hAnsi="Arial" w:cs="Arial"/>
          <w:color w:val="252525"/>
          <w:sz w:val="21"/>
          <w:szCs w:val="21"/>
        </w:rPr>
      </w:pPr>
    </w:p>
    <w:p w14:paraId="0E167D75" w14:textId="77777777" w:rsidR="003B12B4" w:rsidRDefault="00000000">
      <w:pPr>
        <w:numPr>
          <w:ilvl w:val="0"/>
          <w:numId w:val="5"/>
        </w:numPr>
        <w:pBdr>
          <w:top w:val="nil"/>
          <w:left w:val="nil"/>
          <w:bottom w:val="nil"/>
          <w:right w:val="nil"/>
          <w:between w:val="nil"/>
        </w:pBdr>
      </w:pPr>
      <w:r>
        <w:rPr>
          <w:color w:val="000000"/>
        </w:rPr>
        <w:t>Defina bancos</w:t>
      </w:r>
    </w:p>
    <w:p w14:paraId="0FD7AF2C" w14:textId="77777777" w:rsidR="003B12B4" w:rsidRDefault="00000000">
      <w:r>
        <w:rPr>
          <w:rFonts w:ascii="Arial" w:eastAsia="Arial" w:hAnsi="Arial" w:cs="Arial"/>
          <w:color w:val="252525"/>
          <w:sz w:val="21"/>
          <w:szCs w:val="21"/>
          <w:highlight w:val="white"/>
        </w:rPr>
        <w:t>Un</w:t>
      </w:r>
      <w:r>
        <w:rPr>
          <w:rFonts w:ascii="Arial" w:eastAsia="Arial" w:hAnsi="Arial" w:cs="Arial"/>
          <w:i/>
          <w:color w:val="252525"/>
          <w:sz w:val="21"/>
          <w:szCs w:val="21"/>
          <w:highlight w:val="white"/>
        </w:rPr>
        <w:t> </w:t>
      </w:r>
      <w:r>
        <w:rPr>
          <w:rFonts w:ascii="Arial" w:eastAsia="Arial" w:hAnsi="Arial" w:cs="Arial"/>
          <w:color w:val="252525"/>
          <w:sz w:val="21"/>
          <w:szCs w:val="21"/>
          <w:highlight w:val="white"/>
        </w:rPr>
        <w:t>banco</w:t>
      </w:r>
      <w:r>
        <w:rPr>
          <w:rFonts w:ascii="Arial" w:eastAsia="Arial" w:hAnsi="Arial" w:cs="Arial"/>
          <w:i/>
          <w:color w:val="252525"/>
          <w:sz w:val="21"/>
          <w:szCs w:val="21"/>
          <w:highlight w:val="white"/>
        </w:rPr>
        <w:t> </w:t>
      </w:r>
      <w:r>
        <w:rPr>
          <w:rFonts w:ascii="Arial" w:eastAsia="Arial" w:hAnsi="Arial" w:cs="Arial"/>
          <w:color w:val="252525"/>
          <w:sz w:val="21"/>
          <w:szCs w:val="21"/>
          <w:highlight w:val="white"/>
        </w:rPr>
        <w:t>es una empresa financiera que se encarga de captar recursos en la forma de depósitos, y prestar dinero, así como la prestación de</w:t>
      </w:r>
      <w:r>
        <w:rPr>
          <w:rFonts w:ascii="Arial" w:eastAsia="Arial" w:hAnsi="Arial" w:cs="Arial"/>
          <w:i/>
          <w:color w:val="252525"/>
          <w:sz w:val="21"/>
          <w:szCs w:val="21"/>
          <w:highlight w:val="white"/>
        </w:rPr>
        <w:t> </w:t>
      </w:r>
      <w:r>
        <w:t xml:space="preserve">servicios financieros. </w:t>
      </w:r>
    </w:p>
    <w:p w14:paraId="6067F144" w14:textId="77777777" w:rsidR="003B12B4" w:rsidRDefault="003B12B4"/>
    <w:p w14:paraId="0E9FA615" w14:textId="77777777" w:rsidR="003B12B4" w:rsidRDefault="00000000">
      <w:pPr>
        <w:numPr>
          <w:ilvl w:val="0"/>
          <w:numId w:val="5"/>
        </w:numPr>
        <w:pBdr>
          <w:top w:val="nil"/>
          <w:left w:val="nil"/>
          <w:bottom w:val="nil"/>
          <w:right w:val="nil"/>
          <w:between w:val="nil"/>
        </w:pBdr>
      </w:pPr>
      <w:r>
        <w:rPr>
          <w:color w:val="000000"/>
        </w:rPr>
        <w:t>Diferencia entre banco comercial y Banco Central</w:t>
      </w:r>
    </w:p>
    <w:p w14:paraId="1DB32815" w14:textId="77777777" w:rsidR="003B12B4" w:rsidRDefault="00000000">
      <w:pPr>
        <w:rPr>
          <w:rFonts w:ascii="Arial" w:eastAsia="Arial" w:hAnsi="Arial" w:cs="Arial"/>
          <w:color w:val="000000"/>
          <w:sz w:val="21"/>
          <w:szCs w:val="21"/>
          <w:highlight w:val="white"/>
        </w:rPr>
      </w:pPr>
      <w:r>
        <w:rPr>
          <w:rFonts w:ascii="Arial" w:eastAsia="Arial" w:hAnsi="Arial" w:cs="Arial"/>
          <w:color w:val="000000"/>
          <w:sz w:val="21"/>
          <w:szCs w:val="21"/>
          <w:highlight w:val="white"/>
        </w:rPr>
        <w:t>La función del banco central es la de vigilar, controlar y dirigir el sistema económico de un país. Mientras que el banco comercial ofrece y trata directamente con el público y entidades de negocios.</w:t>
      </w:r>
    </w:p>
    <w:p w14:paraId="7D1566CC" w14:textId="77777777" w:rsidR="003B12B4" w:rsidRDefault="00000000">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Defina las clases de operaciones bancarias</w:t>
      </w:r>
    </w:p>
    <w:p w14:paraId="391590A7" w14:textId="77777777" w:rsidR="003B12B4" w:rsidRDefault="003B12B4">
      <w:pPr>
        <w:rPr>
          <w:rFonts w:ascii="Arial" w:eastAsia="Arial" w:hAnsi="Arial" w:cs="Arial"/>
          <w:sz w:val="21"/>
          <w:szCs w:val="21"/>
        </w:rPr>
      </w:pPr>
    </w:p>
    <w:p w14:paraId="0B5B29EB" w14:textId="77777777" w:rsidR="003B12B4" w:rsidRDefault="003B12B4">
      <w:pPr>
        <w:rPr>
          <w:rFonts w:ascii="Arial" w:eastAsia="Arial" w:hAnsi="Arial" w:cs="Arial"/>
          <w:sz w:val="21"/>
          <w:szCs w:val="21"/>
        </w:rPr>
      </w:pPr>
    </w:p>
    <w:p w14:paraId="4363C847" w14:textId="77777777" w:rsidR="003B12B4" w:rsidRDefault="003B12B4">
      <w:pPr>
        <w:rPr>
          <w:rFonts w:ascii="Arial" w:eastAsia="Arial" w:hAnsi="Arial" w:cs="Arial"/>
          <w:sz w:val="21"/>
          <w:szCs w:val="21"/>
        </w:rPr>
      </w:pPr>
    </w:p>
    <w:p w14:paraId="66073690" w14:textId="77777777" w:rsidR="003B12B4" w:rsidRDefault="003B12B4">
      <w:pPr>
        <w:rPr>
          <w:rFonts w:ascii="Arial" w:eastAsia="Arial" w:hAnsi="Arial" w:cs="Arial"/>
          <w:sz w:val="21"/>
          <w:szCs w:val="21"/>
        </w:rPr>
      </w:pPr>
    </w:p>
    <w:p w14:paraId="3DC52C4C" w14:textId="77777777" w:rsidR="003B12B4" w:rsidRDefault="00000000">
      <w:pPr>
        <w:shd w:val="clear" w:color="auto" w:fill="FFFFFF"/>
        <w:spacing w:before="120" w:after="120"/>
        <w:rPr>
          <w:rFonts w:ascii="Arial" w:eastAsia="Arial" w:hAnsi="Arial" w:cs="Arial"/>
          <w:color w:val="252525"/>
          <w:sz w:val="21"/>
          <w:szCs w:val="21"/>
        </w:rPr>
      </w:pPr>
      <w:r>
        <w:rPr>
          <w:rFonts w:ascii="Arial" w:eastAsia="Arial" w:hAnsi="Arial" w:cs="Arial"/>
          <w:sz w:val="21"/>
          <w:szCs w:val="21"/>
        </w:rPr>
        <w:lastRenderedPageBreak/>
        <w:t xml:space="preserve">Operación pasiva: </w:t>
      </w:r>
      <w:r>
        <w:rPr>
          <w:rFonts w:ascii="Arial" w:eastAsia="Arial" w:hAnsi="Arial" w:cs="Arial"/>
          <w:color w:val="252525"/>
          <w:sz w:val="21"/>
          <w:szCs w:val="21"/>
        </w:rPr>
        <w:t>Conformadas por aquellas operaciones por las que el banco capta, recibe o recolecta dinero de las personas.</w:t>
      </w:r>
    </w:p>
    <w:p w14:paraId="50412E5C" w14:textId="77777777" w:rsidR="003B12B4" w:rsidRDefault="00000000">
      <w:pPr>
        <w:shd w:val="clear" w:color="auto" w:fill="FFFFFF"/>
        <w:spacing w:before="120" w:after="120"/>
        <w:rPr>
          <w:rFonts w:ascii="Arial" w:eastAsia="Arial" w:hAnsi="Arial" w:cs="Arial"/>
          <w:color w:val="252525"/>
          <w:sz w:val="21"/>
          <w:szCs w:val="21"/>
        </w:rPr>
      </w:pPr>
      <w:r>
        <w:rPr>
          <w:rFonts w:ascii="Arial" w:eastAsia="Arial" w:hAnsi="Arial" w:cs="Arial"/>
          <w:color w:val="252525"/>
          <w:sz w:val="21"/>
          <w:szCs w:val="21"/>
        </w:rPr>
        <w:t>Las operaciones de captación de recursos, denominadas operaciones de carácter pasivo se materializan a través de los depósitos. Los depósitos bancarios pueden clasificarse en tres grandes categorías:</w:t>
      </w:r>
    </w:p>
    <w:p w14:paraId="6F9C5596" w14:textId="77777777" w:rsidR="003B12B4" w:rsidRDefault="003B12B4">
      <w:pPr>
        <w:numPr>
          <w:ilvl w:val="0"/>
          <w:numId w:val="3"/>
        </w:numPr>
        <w:shd w:val="clear" w:color="auto" w:fill="FFFFFF"/>
        <w:spacing w:before="280" w:after="24"/>
        <w:ind w:left="384"/>
        <w:rPr>
          <w:color w:val="252525"/>
        </w:rPr>
      </w:pPr>
    </w:p>
    <w:p w14:paraId="5B8C5759" w14:textId="77777777" w:rsidR="003B12B4" w:rsidRDefault="00000000">
      <w:pPr>
        <w:shd w:val="clear" w:color="auto" w:fill="FFFFFF"/>
        <w:spacing w:before="280" w:after="24"/>
        <w:ind w:left="384"/>
        <w:rPr>
          <w:rFonts w:ascii="Arial" w:eastAsia="Arial" w:hAnsi="Arial" w:cs="Arial"/>
          <w:color w:val="252525"/>
          <w:sz w:val="21"/>
          <w:szCs w:val="21"/>
        </w:rPr>
      </w:pPr>
      <w:r>
        <w:t>Cuentas Corrientes.</w:t>
      </w:r>
    </w:p>
    <w:p w14:paraId="31FFD4EA" w14:textId="77777777" w:rsidR="003B12B4" w:rsidRDefault="00000000">
      <w:pPr>
        <w:shd w:val="clear" w:color="auto" w:fill="FFFFFF"/>
        <w:spacing w:before="280" w:after="24"/>
        <w:ind w:left="384"/>
        <w:rPr>
          <w:rFonts w:ascii="Arial" w:eastAsia="Arial" w:hAnsi="Arial" w:cs="Arial"/>
          <w:color w:val="252525"/>
          <w:sz w:val="21"/>
          <w:szCs w:val="21"/>
        </w:rPr>
      </w:pPr>
      <w:r>
        <w:t>Cuenta de ahorro</w:t>
      </w:r>
      <w:r>
        <w:rPr>
          <w:rFonts w:ascii="Arial" w:eastAsia="Arial" w:hAnsi="Arial" w:cs="Arial"/>
          <w:color w:val="252525"/>
          <w:sz w:val="21"/>
          <w:szCs w:val="21"/>
        </w:rPr>
        <w:t> o </w:t>
      </w:r>
      <w:r>
        <w:t>Libreta de ahorro</w:t>
      </w:r>
      <w:r>
        <w:rPr>
          <w:rFonts w:ascii="Arial" w:eastAsia="Arial" w:hAnsi="Arial" w:cs="Arial"/>
          <w:color w:val="252525"/>
          <w:sz w:val="21"/>
          <w:szCs w:val="21"/>
        </w:rPr>
        <w:t>.</w:t>
      </w:r>
    </w:p>
    <w:p w14:paraId="3E97D7D8" w14:textId="77777777" w:rsidR="003B12B4" w:rsidRDefault="00000000">
      <w:pPr>
        <w:shd w:val="clear" w:color="auto" w:fill="FFFFFF"/>
        <w:spacing w:before="280" w:after="24"/>
        <w:ind w:left="384"/>
        <w:rPr>
          <w:rFonts w:ascii="Arial" w:eastAsia="Arial" w:hAnsi="Arial" w:cs="Arial"/>
          <w:color w:val="252525"/>
          <w:sz w:val="21"/>
          <w:szCs w:val="21"/>
        </w:rPr>
      </w:pPr>
      <w:r>
        <w:t>Depósito a plazo fijo</w:t>
      </w:r>
      <w:r>
        <w:rPr>
          <w:rFonts w:ascii="Arial" w:eastAsia="Arial" w:hAnsi="Arial" w:cs="Arial"/>
          <w:color w:val="252525"/>
          <w:sz w:val="21"/>
          <w:szCs w:val="21"/>
        </w:rPr>
        <w:t>.</w:t>
      </w:r>
    </w:p>
    <w:p w14:paraId="62405435" w14:textId="77777777" w:rsidR="003B12B4" w:rsidRDefault="00000000">
      <w:pPr>
        <w:shd w:val="clear" w:color="auto" w:fill="FFFFFF"/>
        <w:spacing w:before="120" w:after="120"/>
        <w:rPr>
          <w:rFonts w:ascii="Arial" w:eastAsia="Arial" w:hAnsi="Arial" w:cs="Arial"/>
          <w:color w:val="252525"/>
          <w:sz w:val="21"/>
          <w:szCs w:val="21"/>
        </w:rPr>
      </w:pPr>
      <w:r>
        <w:rPr>
          <w:rFonts w:ascii="Arial" w:eastAsia="Arial" w:hAnsi="Arial" w:cs="Arial"/>
          <w:color w:val="252525"/>
          <w:sz w:val="21"/>
          <w:szCs w:val="21"/>
        </w:rPr>
        <w:t>Las cuentas, por tanto, son totalmente líquidas. La diferencia entre ambas es que las cuentas corrientes pueden ser movilizadas mediante cheque y pagaré, mientras que en los depósitos a la vista es necesario efectuar el reintegro en ventanilla o a través de los cajeros electrónicos, pero no es posible ni el uso de cheques ni pagarés. Otra diferencia es que, en los depósitos a la vista, el banco puede exigir el preaviso.</w:t>
      </w:r>
    </w:p>
    <w:p w14:paraId="58EB4DD1" w14:textId="77777777" w:rsidR="003B12B4" w:rsidRDefault="003B12B4">
      <w:pPr>
        <w:rPr>
          <w:rFonts w:ascii="Arial" w:eastAsia="Arial" w:hAnsi="Arial" w:cs="Arial"/>
          <w:sz w:val="21"/>
          <w:szCs w:val="21"/>
        </w:rPr>
      </w:pPr>
    </w:p>
    <w:p w14:paraId="56153F97" w14:textId="77777777" w:rsidR="003B12B4" w:rsidRDefault="00000000">
      <w:pPr>
        <w:rPr>
          <w:rFonts w:ascii="Arial" w:eastAsia="Arial" w:hAnsi="Arial" w:cs="Arial"/>
          <w:color w:val="252525"/>
          <w:sz w:val="21"/>
          <w:szCs w:val="21"/>
        </w:rPr>
      </w:pPr>
      <w:r>
        <w:rPr>
          <w:rFonts w:ascii="Arial" w:eastAsia="Arial" w:hAnsi="Arial" w:cs="Arial"/>
          <w:sz w:val="21"/>
          <w:szCs w:val="21"/>
        </w:rPr>
        <w:t xml:space="preserve">Operación activa: </w:t>
      </w:r>
      <w:r>
        <w:rPr>
          <w:rFonts w:ascii="Arial" w:eastAsia="Arial" w:hAnsi="Arial" w:cs="Arial"/>
          <w:color w:val="252525"/>
          <w:sz w:val="21"/>
          <w:szCs w:val="21"/>
        </w:rPr>
        <w:t>La colocación permite poner dinero en circulación en la</w:t>
      </w:r>
      <w:r>
        <w:rPr>
          <w:rFonts w:ascii="Arial" w:eastAsia="Arial" w:hAnsi="Arial" w:cs="Arial"/>
          <w:sz w:val="21"/>
          <w:szCs w:val="21"/>
        </w:rPr>
        <w:t xml:space="preserve"> economía</w:t>
      </w:r>
      <w:r>
        <w:rPr>
          <w:rFonts w:ascii="Arial" w:eastAsia="Arial" w:hAnsi="Arial" w:cs="Arial"/>
          <w:color w:val="252525"/>
          <w:sz w:val="21"/>
          <w:szCs w:val="21"/>
        </w:rPr>
        <w:t>; es decir, los bancos generan nuevo dinero del dinero o los recursos que obtienen a través de la captación y, con estos, otorgan créditos a las personas, empresas u organizaciones que los soliciten.</w:t>
      </w:r>
    </w:p>
    <w:p w14:paraId="08355694" w14:textId="77777777" w:rsidR="003B12B4" w:rsidRDefault="003B12B4"/>
    <w:p w14:paraId="014733A0" w14:textId="77777777" w:rsidR="003B12B4" w:rsidRDefault="00000000">
      <w:pPr>
        <w:numPr>
          <w:ilvl w:val="0"/>
          <w:numId w:val="5"/>
        </w:numPr>
        <w:pBdr>
          <w:top w:val="nil"/>
          <w:left w:val="nil"/>
          <w:bottom w:val="nil"/>
          <w:right w:val="nil"/>
          <w:between w:val="nil"/>
        </w:pBdr>
        <w:spacing w:after="0"/>
      </w:pPr>
      <w:r>
        <w:rPr>
          <w:color w:val="000000"/>
        </w:rPr>
        <w:t>Denominación del negocio bancario</w:t>
      </w:r>
    </w:p>
    <w:p w14:paraId="23943C05" w14:textId="77777777" w:rsidR="003B12B4" w:rsidRDefault="00000000">
      <w:pPr>
        <w:pBdr>
          <w:top w:val="nil"/>
          <w:left w:val="nil"/>
          <w:bottom w:val="nil"/>
          <w:right w:val="nil"/>
          <w:between w:val="nil"/>
        </w:pBdr>
        <w:shd w:val="clear" w:color="auto" w:fill="FFFFFF"/>
        <w:spacing w:after="120"/>
        <w:ind w:left="1440"/>
        <w:rPr>
          <w:rFonts w:ascii="Arial" w:eastAsia="Arial" w:hAnsi="Arial" w:cs="Arial"/>
          <w:color w:val="252525"/>
          <w:sz w:val="21"/>
          <w:szCs w:val="21"/>
        </w:rPr>
      </w:pPr>
      <w:r>
        <w:rPr>
          <w:rFonts w:ascii="Arial" w:eastAsia="Arial" w:hAnsi="Arial" w:cs="Arial"/>
          <w:color w:val="252525"/>
          <w:sz w:val="21"/>
          <w:szCs w:val="21"/>
        </w:rPr>
        <w:t>De los fondos que los bancos captan es obligado mantener una parte líquida como reserva para hacer frente a las posibles demandas de restitución de los clientes, lo que recibe el nombre de </w:t>
      </w:r>
      <w:r>
        <w:rPr>
          <w:color w:val="000000"/>
        </w:rPr>
        <w:t>encaje bancario</w:t>
      </w:r>
      <w:r>
        <w:rPr>
          <w:rFonts w:ascii="Arial" w:eastAsia="Arial" w:hAnsi="Arial" w:cs="Arial"/>
          <w:color w:val="252525"/>
          <w:sz w:val="21"/>
          <w:szCs w:val="21"/>
        </w:rPr>
        <w:t>. Tienen un carácter improductivo, puesto que no pueden estar invertidos.</w:t>
      </w:r>
    </w:p>
    <w:p w14:paraId="08CF5CD2" w14:textId="77777777" w:rsidR="003B12B4" w:rsidRDefault="003B12B4"/>
    <w:p w14:paraId="16288A78" w14:textId="77777777" w:rsidR="003B12B4" w:rsidRDefault="00000000">
      <w:pPr>
        <w:numPr>
          <w:ilvl w:val="0"/>
          <w:numId w:val="5"/>
        </w:numPr>
        <w:pBdr>
          <w:top w:val="nil"/>
          <w:left w:val="nil"/>
          <w:bottom w:val="nil"/>
          <w:right w:val="nil"/>
          <w:between w:val="nil"/>
        </w:pBdr>
      </w:pPr>
      <w:r>
        <w:rPr>
          <w:color w:val="000000"/>
        </w:rPr>
        <w:t>Origen de los bancos.</w:t>
      </w:r>
    </w:p>
    <w:p w14:paraId="2C54D2D5" w14:textId="77777777" w:rsidR="003B12B4" w:rsidRDefault="003B12B4"/>
    <w:p w14:paraId="4D28FE2C" w14:textId="77777777" w:rsidR="003B12B4" w:rsidRDefault="00000000">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t>El nacimiento de los bancos es casi tan antiguo como la aparición de las organizaciones humanas.</w:t>
      </w:r>
    </w:p>
    <w:p w14:paraId="38ABB670" w14:textId="77777777" w:rsidR="003B12B4" w:rsidRDefault="00000000">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t>Se puede decir que los bancos nacieron con la necesidad de realizar simples operaciones de cambio y crédito a niveles personales, pero pronto se comenzaron a desarrollar funciones más amplias, a abarcar más personas y pasaron a contar con organizaciones más complejas.</w:t>
      </w:r>
    </w:p>
    <w:p w14:paraId="2E82BDC1" w14:textId="77777777" w:rsidR="003B12B4" w:rsidRDefault="00000000">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lastRenderedPageBreak/>
        <w:t>Así es como, a partir del siglo IV A.C. en varias ciudades griegas se constituyen bancos públicos, administrados por funcionarios especialmente destinados a esta labor. Estas instituciones, además de su rol propiamente bancario (ligado a operaciones de cambio y crédito), recaudaban impuestos y acuñaban moneda.</w:t>
      </w:r>
    </w:p>
    <w:p w14:paraId="68B6717F" w14:textId="77777777" w:rsidR="003B12B4" w:rsidRDefault="003B12B4"/>
    <w:p w14:paraId="3A2D13EB" w14:textId="77777777" w:rsidR="003B12B4" w:rsidRDefault="003B12B4"/>
    <w:p w14:paraId="6E61DEBB" w14:textId="77777777" w:rsidR="003B12B4" w:rsidRDefault="003B12B4"/>
    <w:p w14:paraId="3BAAAD43" w14:textId="77777777" w:rsidR="003B12B4" w:rsidRDefault="00000000">
      <w:pPr>
        <w:shd w:val="clear" w:color="auto" w:fill="FFFFFF"/>
        <w:spacing w:before="120" w:after="120" w:line="240" w:lineRule="auto"/>
      </w:pPr>
      <w:r>
        <w:t>3- Lea el siguiente texto y Luego responda:</w:t>
      </w:r>
    </w:p>
    <w:p w14:paraId="1DC5AA99" w14:textId="77777777" w:rsidR="003B12B4" w:rsidRDefault="00000000">
      <w:pPr>
        <w:shd w:val="clear" w:color="auto" w:fill="FFFFFF"/>
        <w:spacing w:before="120" w:after="120" w:line="240" w:lineRule="auto"/>
        <w:rPr>
          <w:rFonts w:ascii="Arial" w:eastAsia="Arial" w:hAnsi="Arial" w:cs="Arial"/>
          <w:color w:val="202122"/>
          <w:sz w:val="20"/>
          <w:szCs w:val="20"/>
        </w:rPr>
      </w:pPr>
      <w:r>
        <w:rPr>
          <w:rFonts w:ascii="Arial" w:eastAsia="Arial" w:hAnsi="Arial" w:cs="Arial"/>
          <w:color w:val="202122"/>
          <w:sz w:val="24"/>
          <w:szCs w:val="24"/>
        </w:rPr>
        <w:t xml:space="preserve"> </w:t>
      </w:r>
      <w:r>
        <w:rPr>
          <w:rFonts w:ascii="Arial" w:eastAsia="Arial" w:hAnsi="Arial" w:cs="Arial"/>
          <w:color w:val="202122"/>
          <w:sz w:val="20"/>
          <w:szCs w:val="20"/>
        </w:rPr>
        <w:t>La </w:t>
      </w:r>
      <w:r>
        <w:rPr>
          <w:rFonts w:ascii="Arial" w:eastAsia="Arial" w:hAnsi="Arial" w:cs="Arial"/>
          <w:b/>
          <w:color w:val="202122"/>
          <w:sz w:val="20"/>
          <w:szCs w:val="20"/>
        </w:rPr>
        <w:t>inflación</w:t>
      </w:r>
      <w:r>
        <w:rPr>
          <w:rFonts w:ascii="Arial" w:eastAsia="Arial" w:hAnsi="Arial" w:cs="Arial"/>
          <w:color w:val="202122"/>
          <w:sz w:val="20"/>
          <w:szCs w:val="20"/>
        </w:rPr>
        <w:t>, en </w:t>
      </w:r>
      <w:hyperlink r:id="rId5">
        <w:r>
          <w:rPr>
            <w:rFonts w:ascii="Arial" w:eastAsia="Arial" w:hAnsi="Arial" w:cs="Arial"/>
            <w:color w:val="0B0080"/>
            <w:sz w:val="20"/>
            <w:szCs w:val="20"/>
            <w:u w:val="single"/>
          </w:rPr>
          <w:t>economía</w:t>
        </w:r>
      </w:hyperlink>
      <w:r>
        <w:rPr>
          <w:rFonts w:ascii="Arial" w:eastAsia="Arial" w:hAnsi="Arial" w:cs="Arial"/>
          <w:color w:val="202122"/>
          <w:sz w:val="20"/>
          <w:szCs w:val="20"/>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6">
        <w:r>
          <w:rPr>
            <w:rFonts w:ascii="Arial" w:eastAsia="Arial" w:hAnsi="Arial" w:cs="Arial"/>
            <w:color w:val="0B0080"/>
            <w:sz w:val="20"/>
            <w:szCs w:val="20"/>
            <w:u w:val="single"/>
          </w:rPr>
          <w:t>poder adquisitivo</w:t>
        </w:r>
      </w:hyperlink>
      <w:r>
        <w:rPr>
          <w:rFonts w:ascii="Arial" w:eastAsia="Arial" w:hAnsi="Arial" w:cs="Arial"/>
          <w:color w:val="202122"/>
          <w:sz w:val="20"/>
          <w:szCs w:val="20"/>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7">
        <w:r>
          <w:rPr>
            <w:rFonts w:ascii="Arial" w:eastAsia="Arial" w:hAnsi="Arial" w:cs="Arial"/>
            <w:color w:val="0B0080"/>
            <w:sz w:val="20"/>
            <w:szCs w:val="20"/>
            <w:u w:val="single"/>
          </w:rPr>
          <w:t>índice de precios al consumidor</w:t>
        </w:r>
      </w:hyperlink>
      <w:r>
        <w:rPr>
          <w:rFonts w:ascii="Arial" w:eastAsia="Arial" w:hAnsi="Arial" w:cs="Arial"/>
          <w:color w:val="202122"/>
          <w:sz w:val="20"/>
          <w:szCs w:val="20"/>
        </w:rPr>
        <w:t>).</w:t>
      </w:r>
    </w:p>
    <w:p w14:paraId="432E7F75" w14:textId="77777777" w:rsidR="003B12B4" w:rsidRDefault="003B12B4">
      <w:pPr>
        <w:pStyle w:val="Ttulo3"/>
        <w:shd w:val="clear" w:color="auto" w:fill="FFFFFF"/>
        <w:spacing w:before="72" w:after="60"/>
        <w:rPr>
          <w:rFonts w:ascii="Arial" w:eastAsia="Arial" w:hAnsi="Arial" w:cs="Arial"/>
          <w:color w:val="000000"/>
          <w:sz w:val="20"/>
          <w:szCs w:val="20"/>
        </w:rPr>
      </w:pPr>
    </w:p>
    <w:p w14:paraId="69DC771B" w14:textId="77777777" w:rsidR="003B12B4" w:rsidRDefault="003B12B4">
      <w:pPr>
        <w:pStyle w:val="Ttulo3"/>
        <w:shd w:val="clear" w:color="auto" w:fill="FFFFFF"/>
        <w:spacing w:before="72" w:after="60"/>
        <w:rPr>
          <w:rFonts w:ascii="Arial" w:eastAsia="Arial" w:hAnsi="Arial" w:cs="Arial"/>
          <w:color w:val="000000"/>
          <w:sz w:val="20"/>
          <w:szCs w:val="20"/>
        </w:rPr>
      </w:pPr>
    </w:p>
    <w:p w14:paraId="49D22B36" w14:textId="77777777" w:rsidR="003B12B4" w:rsidRDefault="00000000">
      <w:pPr>
        <w:pStyle w:val="Ttulo3"/>
        <w:shd w:val="clear" w:color="auto" w:fill="FFFFFF"/>
        <w:spacing w:before="72" w:after="60"/>
        <w:rPr>
          <w:rFonts w:ascii="Arial" w:eastAsia="Arial" w:hAnsi="Arial" w:cs="Arial"/>
          <w:color w:val="000000"/>
          <w:sz w:val="20"/>
          <w:szCs w:val="20"/>
        </w:rPr>
      </w:pPr>
      <w:r>
        <w:rPr>
          <w:rFonts w:ascii="Arial" w:eastAsia="Arial" w:hAnsi="Arial" w:cs="Arial"/>
          <w:color w:val="000000"/>
          <w:sz w:val="20"/>
          <w:szCs w:val="20"/>
        </w:rPr>
        <w:t xml:space="preserve">Clasificación de la inflación </w:t>
      </w:r>
    </w:p>
    <w:p w14:paraId="1ED09FBE" w14:textId="77777777" w:rsidR="003B12B4" w:rsidRDefault="00000000">
      <w:pPr>
        <w:numPr>
          <w:ilvl w:val="0"/>
          <w:numId w:val="1"/>
        </w:numPr>
        <w:shd w:val="clear" w:color="auto" w:fill="FFFFFF"/>
        <w:spacing w:before="280" w:after="24" w:line="240" w:lineRule="auto"/>
        <w:ind w:left="384"/>
        <w:rPr>
          <w:color w:val="202122"/>
        </w:rPr>
      </w:pPr>
      <w:r>
        <w:rPr>
          <w:rFonts w:ascii="Arial" w:eastAsia="Arial" w:hAnsi="Arial" w:cs="Arial"/>
          <w:b/>
          <w:color w:val="202122"/>
          <w:sz w:val="20"/>
          <w:szCs w:val="20"/>
        </w:rPr>
        <w:t>Inflación moderada:</w:t>
      </w:r>
      <w:r>
        <w:rPr>
          <w:rFonts w:ascii="Arial" w:eastAsia="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14:paraId="448D0FCB" w14:textId="77777777" w:rsidR="003B12B4" w:rsidRDefault="00000000">
      <w:pPr>
        <w:numPr>
          <w:ilvl w:val="0"/>
          <w:numId w:val="1"/>
        </w:numPr>
        <w:shd w:val="clear" w:color="auto" w:fill="FFFFFF"/>
        <w:spacing w:after="24" w:line="240" w:lineRule="auto"/>
        <w:ind w:left="384"/>
        <w:rPr>
          <w:color w:val="202122"/>
        </w:rPr>
      </w:pPr>
      <w:r>
        <w:rPr>
          <w:rFonts w:ascii="Arial" w:eastAsia="Arial" w:hAnsi="Arial" w:cs="Arial"/>
          <w:b/>
          <w:color w:val="202122"/>
          <w:sz w:val="20"/>
          <w:szCs w:val="20"/>
        </w:rPr>
        <w:t>Inflación galopante:</w:t>
      </w:r>
      <w:r>
        <w:rPr>
          <w:rFonts w:ascii="Arial" w:eastAsia="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14:paraId="72A3BB6E" w14:textId="77777777" w:rsidR="003B12B4" w:rsidRDefault="00000000">
      <w:pPr>
        <w:numPr>
          <w:ilvl w:val="0"/>
          <w:numId w:val="1"/>
        </w:numPr>
        <w:shd w:val="clear" w:color="auto" w:fill="FFFFFF"/>
        <w:spacing w:after="24" w:line="240" w:lineRule="auto"/>
        <w:ind w:left="384"/>
        <w:rPr>
          <w:color w:val="202122"/>
        </w:rPr>
      </w:pPr>
      <w:r>
        <w:rPr>
          <w:rFonts w:ascii="Arial" w:eastAsia="Arial" w:hAnsi="Arial" w:cs="Arial"/>
          <w:b/>
          <w:color w:val="202122"/>
          <w:sz w:val="20"/>
          <w:szCs w:val="20"/>
        </w:rPr>
        <w:t>Hiperinflación:</w:t>
      </w:r>
      <w:r>
        <w:rPr>
          <w:rFonts w:ascii="Arial" w:eastAsia="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14:paraId="0E5A5F41" w14:textId="77777777" w:rsidR="003B12B4" w:rsidRDefault="003B12B4">
      <w:pPr>
        <w:shd w:val="clear" w:color="auto" w:fill="FFFFFF"/>
        <w:spacing w:before="280" w:after="24" w:line="240" w:lineRule="auto"/>
        <w:rPr>
          <w:rFonts w:ascii="Arial" w:eastAsia="Arial" w:hAnsi="Arial" w:cs="Arial"/>
          <w:b/>
          <w:color w:val="202122"/>
          <w:sz w:val="20"/>
          <w:szCs w:val="20"/>
        </w:rPr>
      </w:pPr>
    </w:p>
    <w:p w14:paraId="3C04F07E" w14:textId="77777777" w:rsidR="003B12B4" w:rsidRDefault="00000000">
      <w:pPr>
        <w:shd w:val="clear" w:color="auto" w:fill="FFFFFF"/>
        <w:spacing w:before="120" w:after="120" w:line="240" w:lineRule="auto"/>
        <w:rPr>
          <w:rFonts w:ascii="Arial" w:eastAsia="Arial" w:hAnsi="Arial" w:cs="Arial"/>
          <w:b/>
          <w:color w:val="0B0080"/>
          <w:sz w:val="20"/>
          <w:szCs w:val="20"/>
          <w:u w:val="single"/>
          <w:vertAlign w:val="superscript"/>
        </w:rPr>
      </w:pPr>
      <w:r>
        <w:rPr>
          <w:rFonts w:ascii="Arial" w:eastAsia="Arial" w:hAnsi="Arial" w:cs="Arial"/>
          <w:b/>
          <w:color w:val="202122"/>
          <w:sz w:val="20"/>
          <w:szCs w:val="20"/>
        </w:rPr>
        <w:t xml:space="preserve">Al índice negativo en la tasa de inflación (una baja generalizada de los precios) se lo denomina </w:t>
      </w:r>
      <w:r>
        <w:rPr>
          <w:rFonts w:ascii="Arial" w:eastAsia="Arial" w:hAnsi="Arial" w:cs="Arial"/>
          <w:b/>
          <w:color w:val="0B0080"/>
          <w:sz w:val="20"/>
          <w:szCs w:val="20"/>
          <w:u w:val="single"/>
        </w:rPr>
        <w:t>deflación</w:t>
      </w:r>
      <w:r>
        <w:rPr>
          <w:rFonts w:ascii="Arial" w:eastAsia="Arial" w:hAnsi="Arial" w:cs="Arial"/>
          <w:b/>
          <w:color w:val="0B0080"/>
          <w:sz w:val="20"/>
          <w:szCs w:val="20"/>
          <w:u w:val="single"/>
          <w:vertAlign w:val="superscript"/>
        </w:rPr>
        <w:t>45</w:t>
      </w:r>
    </w:p>
    <w:p w14:paraId="248AEE3D" w14:textId="77777777" w:rsidR="003B12B4" w:rsidRDefault="003B12B4">
      <w:pPr>
        <w:shd w:val="clear" w:color="auto" w:fill="FFFFFF"/>
        <w:spacing w:before="120" w:after="120" w:line="240" w:lineRule="auto"/>
        <w:rPr>
          <w:rFonts w:ascii="Arial" w:eastAsia="Arial" w:hAnsi="Arial" w:cs="Arial"/>
          <w:color w:val="0B0080"/>
          <w:sz w:val="20"/>
          <w:szCs w:val="20"/>
          <w:u w:val="single"/>
          <w:vertAlign w:val="superscript"/>
        </w:rPr>
      </w:pPr>
    </w:p>
    <w:p w14:paraId="00E2532F" w14:textId="77777777" w:rsidR="003B12B4" w:rsidRDefault="00000000">
      <w:pPr>
        <w:pStyle w:val="Ttulo3"/>
        <w:shd w:val="clear" w:color="auto" w:fill="FFFFFF"/>
        <w:spacing w:before="0"/>
        <w:rPr>
          <w:rFonts w:ascii="Arial" w:eastAsia="Arial" w:hAnsi="Arial" w:cs="Arial"/>
          <w:color w:val="B0B366"/>
          <w:sz w:val="20"/>
          <w:szCs w:val="20"/>
        </w:rPr>
      </w:pPr>
      <w:r>
        <w:rPr>
          <w:rFonts w:ascii="Arial" w:eastAsia="Arial" w:hAnsi="Arial" w:cs="Arial"/>
          <w:color w:val="B0B366"/>
          <w:sz w:val="20"/>
          <w:szCs w:val="20"/>
        </w:rPr>
        <w:t>POLITICAS ANTI-INFLACIONARIAS</w:t>
      </w:r>
    </w:p>
    <w:tbl>
      <w:tblPr>
        <w:tblStyle w:val="a"/>
        <w:tblW w:w="10830" w:type="dxa"/>
        <w:tblInd w:w="-150" w:type="dxa"/>
        <w:tblLayout w:type="fixed"/>
        <w:tblLook w:val="0400" w:firstRow="0" w:lastRow="0" w:firstColumn="0" w:lastColumn="0" w:noHBand="0" w:noVBand="1"/>
      </w:tblPr>
      <w:tblGrid>
        <w:gridCol w:w="10830"/>
      </w:tblGrid>
      <w:tr w:rsidR="003B12B4" w14:paraId="1BB8A757" w14:textId="77777777">
        <w:tc>
          <w:tcPr>
            <w:tcW w:w="10830" w:type="dxa"/>
            <w:tcMar>
              <w:top w:w="150" w:type="dxa"/>
              <w:left w:w="150" w:type="dxa"/>
              <w:bottom w:w="150" w:type="dxa"/>
              <w:right w:w="150" w:type="dxa"/>
            </w:tcMar>
          </w:tcPr>
          <w:p w14:paraId="059DEE52" w14:textId="77777777" w:rsidR="003B12B4" w:rsidRDefault="00000000">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Las políticas antiinflacionarias suelen provocar disminución en los ingresos, algunas parecen incidir más sobre las rentas del capital mientras que otras parecen asentarse especialmente en los salarios.</w:t>
            </w:r>
          </w:p>
          <w:p w14:paraId="16CC74C4" w14:textId="77777777" w:rsidR="003B12B4" w:rsidRDefault="00000000">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La política de control de precios</w:t>
            </w:r>
            <w:r>
              <w:rPr>
                <w:rFonts w:ascii="Arial" w:eastAsia="Arial" w:hAnsi="Arial" w:cs="Arial"/>
                <w:color w:val="000000"/>
                <w:sz w:val="20"/>
                <w:szCs w:val="20"/>
              </w:rPr>
              <w:t xml:space="preserve">, a corto plazo pueden tener un cierto efecto, pero si no se corrigen las causas o los desequilibrios que generaron el problema, ocurre que en cuanto se levanten los controles la inflación resurgirá con más fuerza. En cualquier </w:t>
            </w:r>
            <w:proofErr w:type="gramStart"/>
            <w:r>
              <w:rPr>
                <w:rFonts w:ascii="Arial" w:eastAsia="Arial" w:hAnsi="Arial" w:cs="Arial"/>
                <w:color w:val="000000"/>
                <w:sz w:val="20"/>
                <w:szCs w:val="20"/>
              </w:rPr>
              <w:t>caso</w:t>
            </w:r>
            <w:proofErr w:type="gramEnd"/>
            <w:r>
              <w:rPr>
                <w:rFonts w:ascii="Arial" w:eastAsia="Arial" w:hAnsi="Arial" w:cs="Arial"/>
                <w:color w:val="000000"/>
                <w:sz w:val="20"/>
                <w:szCs w:val="20"/>
              </w:rPr>
              <w:t xml:space="preserve"> el control directo sólo puede ser una medida a corto plazo; si se prolongase en el tiempo aparecería el mercado negro y se provocarían distorsiones en la producción.</w:t>
            </w:r>
          </w:p>
          <w:p w14:paraId="3CA85249" w14:textId="77777777" w:rsidR="003B12B4" w:rsidRDefault="00000000">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La política de control de rentas</w:t>
            </w:r>
            <w:r>
              <w:rPr>
                <w:rFonts w:ascii="Arial" w:eastAsia="Arial" w:hAnsi="Arial" w:cs="Arial"/>
                <w:color w:val="000000"/>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14:paraId="2069953E" w14:textId="77777777" w:rsidR="003B12B4" w:rsidRDefault="00000000">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La política cambíaria</w:t>
            </w:r>
            <w:r>
              <w:rPr>
                <w:rFonts w:ascii="Arial" w:eastAsia="Arial" w:hAnsi="Arial" w:cs="Arial"/>
                <w:color w:val="000000"/>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14:paraId="0D8F2599" w14:textId="77777777" w:rsidR="003B12B4" w:rsidRDefault="00000000">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Efectos de la política fiscal y la política monetaria</w:t>
            </w:r>
            <w:r>
              <w:rPr>
                <w:rFonts w:ascii="Arial" w:eastAsia="Arial" w:hAnsi="Arial" w:cs="Arial"/>
                <w:color w:val="000000"/>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14:paraId="47A2094B" w14:textId="77777777" w:rsidR="003B12B4" w:rsidRDefault="003B12B4">
            <w:pPr>
              <w:pBdr>
                <w:top w:val="nil"/>
                <w:left w:val="nil"/>
                <w:bottom w:val="nil"/>
                <w:right w:val="nil"/>
                <w:between w:val="nil"/>
              </w:pBdr>
              <w:spacing w:line="240" w:lineRule="auto"/>
              <w:rPr>
                <w:rFonts w:ascii="Arial" w:eastAsia="Arial" w:hAnsi="Arial" w:cs="Arial"/>
                <w:color w:val="000000"/>
                <w:sz w:val="20"/>
                <w:szCs w:val="20"/>
              </w:rPr>
            </w:pPr>
          </w:p>
          <w:p w14:paraId="2E4B4A41" w14:textId="77777777" w:rsidR="003B12B4" w:rsidRDefault="00000000">
            <w:pPr>
              <w:numPr>
                <w:ilvl w:val="0"/>
                <w:numId w:val="2"/>
              </w:num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Defina inflación</w:t>
            </w:r>
          </w:p>
          <w:p w14:paraId="196C6872" w14:textId="77777777" w:rsidR="003B12B4" w:rsidRDefault="00000000">
            <w:p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color w:val="202122"/>
                <w:sz w:val="20"/>
                <w:szCs w:val="20"/>
              </w:rPr>
              <w:t>es el aumento generalizado y sostenido de los precios de los bienes y servicios existentes en el mercado durante un período de tiempo, generalmente un año. Cuando el nivel general de precios sube, con cada unidad de moneda se adquieren menos bienes y servicios.</w:t>
            </w:r>
          </w:p>
          <w:p w14:paraId="6EEFA62B" w14:textId="77777777" w:rsidR="003B12B4" w:rsidRDefault="003B12B4">
            <w:pPr>
              <w:pBdr>
                <w:top w:val="nil"/>
                <w:left w:val="nil"/>
                <w:bottom w:val="nil"/>
                <w:right w:val="nil"/>
                <w:between w:val="nil"/>
              </w:pBdr>
              <w:spacing w:line="240" w:lineRule="auto"/>
              <w:rPr>
                <w:rFonts w:ascii="Arial" w:eastAsia="Arial" w:hAnsi="Arial" w:cs="Arial"/>
                <w:b/>
                <w:color w:val="000000"/>
                <w:sz w:val="20"/>
                <w:szCs w:val="20"/>
              </w:rPr>
            </w:pPr>
          </w:p>
          <w:p w14:paraId="7AC6A7C5" w14:textId="77777777" w:rsidR="003B12B4" w:rsidRDefault="00000000">
            <w:pPr>
              <w:numPr>
                <w:ilvl w:val="0"/>
                <w:numId w:val="2"/>
              </w:num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Enumere sus causas y explique 2 de ellas</w:t>
            </w:r>
          </w:p>
          <w:p w14:paraId="321F1CFD" w14:textId="6D610D23" w:rsidR="003B12B4" w:rsidRPr="006E0973" w:rsidRDefault="00000000">
            <w:pPr>
              <w:pBdr>
                <w:top w:val="nil"/>
                <w:left w:val="nil"/>
                <w:bottom w:val="nil"/>
                <w:right w:val="nil"/>
                <w:between w:val="nil"/>
              </w:pBdr>
              <w:spacing w:line="240" w:lineRule="auto"/>
              <w:rPr>
                <w:rFonts w:ascii="Arial" w:eastAsia="Arial" w:hAnsi="Arial" w:cs="Arial"/>
                <w:bCs/>
                <w:sz w:val="21"/>
                <w:szCs w:val="21"/>
              </w:rPr>
            </w:pPr>
            <w:r w:rsidRPr="006E0973">
              <w:rPr>
                <w:rFonts w:ascii="Arial" w:eastAsia="Arial" w:hAnsi="Arial" w:cs="Arial"/>
                <w:bCs/>
                <w:sz w:val="21"/>
                <w:szCs w:val="21"/>
              </w:rPr>
              <w:t>Aumento de la base monetaria:</w:t>
            </w:r>
            <w:r w:rsidR="006E0973">
              <w:rPr>
                <w:rFonts w:ascii="Arial" w:eastAsia="Arial" w:hAnsi="Arial" w:cs="Arial"/>
                <w:bCs/>
                <w:sz w:val="21"/>
                <w:szCs w:val="21"/>
              </w:rPr>
              <w:t xml:space="preserve"> </w:t>
            </w:r>
            <w:r w:rsidRPr="006E0973">
              <w:rPr>
                <w:rFonts w:ascii="Arial" w:eastAsia="Arial" w:hAnsi="Arial" w:cs="Arial"/>
                <w:bCs/>
                <w:sz w:val="21"/>
                <w:szCs w:val="21"/>
              </w:rPr>
              <w:t>Si aumentan los activos del Banco Central (incremento de las reservas de divisas, aumento del crédito al sistema bancario o al sector público) sin que aumenten los pasivos no monetarios, lógicamente tendrá que aumentar el pasivo monetario</w:t>
            </w:r>
          </w:p>
          <w:p w14:paraId="6EA7E974" w14:textId="78B7B2A0" w:rsidR="003B12B4" w:rsidRPr="006E0973" w:rsidRDefault="00000000">
            <w:pPr>
              <w:pBdr>
                <w:top w:val="nil"/>
                <w:left w:val="nil"/>
                <w:bottom w:val="nil"/>
                <w:right w:val="nil"/>
                <w:between w:val="nil"/>
              </w:pBdr>
              <w:spacing w:line="240" w:lineRule="auto"/>
              <w:rPr>
                <w:rFonts w:ascii="Arial" w:eastAsia="Arial" w:hAnsi="Arial" w:cs="Arial"/>
                <w:bCs/>
                <w:sz w:val="21"/>
                <w:szCs w:val="21"/>
              </w:rPr>
            </w:pPr>
            <w:r w:rsidRPr="006E0973">
              <w:rPr>
                <w:rFonts w:ascii="Arial" w:eastAsia="Arial" w:hAnsi="Arial" w:cs="Arial"/>
                <w:bCs/>
                <w:sz w:val="21"/>
                <w:szCs w:val="21"/>
              </w:rPr>
              <w:t>Inflación autoconstruida:</w:t>
            </w:r>
            <w:r w:rsidR="006E0973" w:rsidRPr="006E0973">
              <w:rPr>
                <w:rFonts w:ascii="Arial" w:eastAsia="Arial" w:hAnsi="Arial" w:cs="Arial"/>
                <w:bCs/>
                <w:sz w:val="21"/>
                <w:szCs w:val="21"/>
              </w:rPr>
              <w:t xml:space="preserve"> </w:t>
            </w:r>
            <w:r w:rsidRPr="006E0973">
              <w:rPr>
                <w:rFonts w:ascii="Arial" w:eastAsia="Arial" w:hAnsi="Arial" w:cs="Arial"/>
                <w:bCs/>
                <w:sz w:val="21"/>
                <w:szCs w:val="21"/>
              </w:rPr>
              <w:t>Esta hace referencia al aumento de precios por expectativa, es decir, los empresarios incrementan los precios porque suponen que el IPC aumentará</w:t>
            </w:r>
          </w:p>
          <w:p w14:paraId="3AB3F549" w14:textId="77777777" w:rsidR="003B12B4" w:rsidRPr="006E0973" w:rsidRDefault="00000000">
            <w:pPr>
              <w:pBdr>
                <w:top w:val="nil"/>
                <w:left w:val="nil"/>
                <w:bottom w:val="nil"/>
                <w:right w:val="nil"/>
                <w:between w:val="nil"/>
              </w:pBdr>
              <w:spacing w:line="240" w:lineRule="auto"/>
              <w:rPr>
                <w:rFonts w:ascii="Arial" w:eastAsia="Arial" w:hAnsi="Arial" w:cs="Arial"/>
                <w:bCs/>
                <w:sz w:val="21"/>
                <w:szCs w:val="21"/>
              </w:rPr>
            </w:pPr>
            <w:r w:rsidRPr="006E0973">
              <w:rPr>
                <w:rFonts w:ascii="Arial" w:eastAsia="Arial" w:hAnsi="Arial" w:cs="Arial"/>
                <w:bCs/>
                <w:sz w:val="21"/>
                <w:szCs w:val="21"/>
              </w:rPr>
              <w:t>Incremento de la demanda.</w:t>
            </w:r>
          </w:p>
          <w:p w14:paraId="24D5CBF6" w14:textId="77777777" w:rsidR="003B12B4" w:rsidRPr="006E0973" w:rsidRDefault="00000000">
            <w:pPr>
              <w:pBdr>
                <w:top w:val="nil"/>
                <w:left w:val="nil"/>
                <w:bottom w:val="nil"/>
                <w:right w:val="nil"/>
                <w:between w:val="nil"/>
              </w:pBdr>
              <w:spacing w:line="240" w:lineRule="auto"/>
              <w:rPr>
                <w:rFonts w:ascii="Arial" w:eastAsia="Arial" w:hAnsi="Arial" w:cs="Arial"/>
                <w:bCs/>
                <w:sz w:val="21"/>
                <w:szCs w:val="21"/>
              </w:rPr>
            </w:pPr>
            <w:r w:rsidRPr="006E0973">
              <w:rPr>
                <w:rFonts w:ascii="Arial" w:eastAsia="Arial" w:hAnsi="Arial" w:cs="Arial"/>
                <w:bCs/>
                <w:sz w:val="21"/>
                <w:szCs w:val="21"/>
              </w:rPr>
              <w:t>Incremento de los costes.</w:t>
            </w:r>
          </w:p>
          <w:p w14:paraId="38FE590F" w14:textId="523A883C" w:rsidR="003B12B4" w:rsidRDefault="003B12B4">
            <w:pPr>
              <w:pBdr>
                <w:top w:val="nil"/>
                <w:left w:val="nil"/>
                <w:bottom w:val="nil"/>
                <w:right w:val="nil"/>
                <w:between w:val="nil"/>
              </w:pBdr>
              <w:spacing w:line="240" w:lineRule="auto"/>
              <w:rPr>
                <w:rFonts w:ascii="Arial" w:eastAsia="Arial" w:hAnsi="Arial" w:cs="Arial"/>
                <w:b/>
                <w:color w:val="000000"/>
                <w:sz w:val="20"/>
                <w:szCs w:val="20"/>
              </w:rPr>
            </w:pPr>
          </w:p>
          <w:p w14:paraId="2A89391E" w14:textId="77777777" w:rsidR="006E0973" w:rsidRDefault="006E0973">
            <w:pPr>
              <w:pBdr>
                <w:top w:val="nil"/>
                <w:left w:val="nil"/>
                <w:bottom w:val="nil"/>
                <w:right w:val="nil"/>
                <w:between w:val="nil"/>
              </w:pBdr>
              <w:spacing w:line="240" w:lineRule="auto"/>
              <w:rPr>
                <w:rFonts w:ascii="Arial" w:eastAsia="Arial" w:hAnsi="Arial" w:cs="Arial"/>
                <w:b/>
                <w:color w:val="000000"/>
                <w:sz w:val="20"/>
                <w:szCs w:val="20"/>
              </w:rPr>
            </w:pPr>
          </w:p>
          <w:p w14:paraId="10AB733D" w14:textId="77777777" w:rsidR="003B12B4" w:rsidRDefault="003B12B4">
            <w:pPr>
              <w:pBdr>
                <w:top w:val="nil"/>
                <w:left w:val="nil"/>
                <w:bottom w:val="nil"/>
                <w:right w:val="nil"/>
                <w:between w:val="nil"/>
              </w:pBdr>
              <w:spacing w:line="240" w:lineRule="auto"/>
              <w:rPr>
                <w:rFonts w:ascii="Arial" w:eastAsia="Arial" w:hAnsi="Arial" w:cs="Arial"/>
                <w:b/>
                <w:color w:val="000000"/>
                <w:sz w:val="20"/>
                <w:szCs w:val="20"/>
              </w:rPr>
            </w:pPr>
          </w:p>
          <w:p w14:paraId="1C709606" w14:textId="77777777" w:rsidR="003B12B4" w:rsidRDefault="003B12B4">
            <w:pPr>
              <w:pBdr>
                <w:top w:val="nil"/>
                <w:left w:val="nil"/>
                <w:bottom w:val="nil"/>
                <w:right w:val="nil"/>
                <w:between w:val="nil"/>
              </w:pBdr>
              <w:spacing w:line="240" w:lineRule="auto"/>
              <w:rPr>
                <w:rFonts w:ascii="Arial" w:eastAsia="Arial" w:hAnsi="Arial" w:cs="Arial"/>
                <w:b/>
                <w:color w:val="000000"/>
                <w:sz w:val="20"/>
                <w:szCs w:val="20"/>
              </w:rPr>
            </w:pPr>
          </w:p>
          <w:p w14:paraId="263813C3" w14:textId="77777777" w:rsidR="003B12B4" w:rsidRDefault="003B12B4">
            <w:pPr>
              <w:pBdr>
                <w:top w:val="nil"/>
                <w:left w:val="nil"/>
                <w:bottom w:val="nil"/>
                <w:right w:val="nil"/>
                <w:between w:val="nil"/>
              </w:pBdr>
              <w:spacing w:line="240" w:lineRule="auto"/>
              <w:rPr>
                <w:rFonts w:ascii="Arial" w:eastAsia="Arial" w:hAnsi="Arial" w:cs="Arial"/>
                <w:b/>
                <w:color w:val="000000"/>
                <w:sz w:val="20"/>
                <w:szCs w:val="20"/>
              </w:rPr>
            </w:pPr>
          </w:p>
          <w:p w14:paraId="505AE06D" w14:textId="77777777" w:rsidR="003B12B4" w:rsidRDefault="00000000">
            <w:pPr>
              <w:numPr>
                <w:ilvl w:val="0"/>
                <w:numId w:val="2"/>
              </w:num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Políticas antiinflacionarias. Enumere y defina 2 de ellas.</w:t>
            </w:r>
          </w:p>
          <w:p w14:paraId="4960A577" w14:textId="77777777" w:rsidR="003B12B4" w:rsidRDefault="00000000">
            <w:p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La política de control de rentas</w:t>
            </w:r>
            <w:r>
              <w:rPr>
                <w:rFonts w:ascii="Arial" w:eastAsia="Arial" w:hAnsi="Arial" w:cs="Arial"/>
                <w:color w:val="000000"/>
                <w:sz w:val="20"/>
                <w:szCs w:val="20"/>
              </w:rPr>
              <w:t>, consiste en establecer límites al crecimiento de sueldos, salarios y beneficios.</w:t>
            </w:r>
          </w:p>
        </w:tc>
      </w:tr>
    </w:tbl>
    <w:p w14:paraId="15F877AB" w14:textId="77777777" w:rsidR="003B12B4" w:rsidRDefault="00000000">
      <w:pPr>
        <w:rPr>
          <w:sz w:val="20"/>
          <w:szCs w:val="20"/>
        </w:rPr>
      </w:pPr>
      <w:r>
        <w:rPr>
          <w:rFonts w:ascii="Arial" w:eastAsia="Arial" w:hAnsi="Arial" w:cs="Arial"/>
          <w:b/>
          <w:sz w:val="20"/>
          <w:szCs w:val="20"/>
        </w:rPr>
        <w:lastRenderedPageBreak/>
        <w:t>Efectos de la política fiscal y la política monetaria</w:t>
      </w:r>
      <w:r>
        <w:rPr>
          <w:rFonts w:ascii="Arial" w:eastAsia="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w:t>
      </w:r>
    </w:p>
    <w:p w14:paraId="7813A466" w14:textId="77777777" w:rsidR="003B12B4" w:rsidRDefault="003B12B4">
      <w:pPr>
        <w:rPr>
          <w:sz w:val="20"/>
          <w:szCs w:val="20"/>
        </w:rPr>
      </w:pPr>
    </w:p>
    <w:sectPr w:rsidR="003B12B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1A4"/>
    <w:multiLevelType w:val="multilevel"/>
    <w:tmpl w:val="8F6EE6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323777"/>
    <w:multiLevelType w:val="multilevel"/>
    <w:tmpl w:val="19AC3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5965"/>
    <w:multiLevelType w:val="multilevel"/>
    <w:tmpl w:val="6268C6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165BD1"/>
    <w:multiLevelType w:val="multilevel"/>
    <w:tmpl w:val="4066F1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26EB8"/>
    <w:multiLevelType w:val="multilevel"/>
    <w:tmpl w:val="C2F47D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37612018">
    <w:abstractNumId w:val="4"/>
  </w:num>
  <w:num w:numId="2" w16cid:durableId="712119572">
    <w:abstractNumId w:val="3"/>
  </w:num>
  <w:num w:numId="3" w16cid:durableId="231237997">
    <w:abstractNumId w:val="2"/>
  </w:num>
  <w:num w:numId="4" w16cid:durableId="444272320">
    <w:abstractNumId w:val="1"/>
  </w:num>
  <w:num w:numId="5" w16cid:durableId="194977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B4"/>
    <w:rsid w:val="003B12B4"/>
    <w:rsid w:val="006E09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D643"/>
  <w15:docId w15:val="{E404633A-0AF7-4972-A22E-1253624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C3%8Dndice_de_precios_al_consumi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oder_adquisitivo" TargetMode="External"/><Relationship Id="rId5" Type="http://schemas.openxmlformats.org/officeDocument/2006/relationships/hyperlink" Target="https://es.wikipedia.org/wiki/Econom%C3%A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8659</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cp:lastModifiedBy>
  <cp:revision>2</cp:revision>
  <dcterms:created xsi:type="dcterms:W3CDTF">2022-11-09T01:01:00Z</dcterms:created>
  <dcterms:modified xsi:type="dcterms:W3CDTF">2022-11-09T01:01:00Z</dcterms:modified>
</cp:coreProperties>
</file>