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E1" w:rsidRDefault="00EB4AE1" w:rsidP="00EC1AE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GUIA N° 2</w:t>
      </w:r>
    </w:p>
    <w:p w:rsidR="00EC1AEF" w:rsidRDefault="00EC1AEF" w:rsidP="00EC1AEF">
      <w:pPr>
        <w:jc w:val="center"/>
        <w:rPr>
          <w:rFonts w:ascii="Century Gothic" w:hAnsi="Century Gothic"/>
          <w:b/>
          <w:u w:val="single"/>
        </w:rPr>
      </w:pPr>
      <w:r w:rsidRPr="00425A42">
        <w:rPr>
          <w:rFonts w:ascii="Century Gothic" w:hAnsi="Century Gothic"/>
          <w:b/>
          <w:u w:val="single"/>
        </w:rPr>
        <w:t>Actividades.</w:t>
      </w:r>
    </w:p>
    <w:p w:rsidR="009216AE" w:rsidRDefault="009216AE" w:rsidP="009216AE">
      <w:pPr>
        <w:rPr>
          <w:rFonts w:ascii="Century Gothic" w:hAnsi="Century Gothic"/>
          <w:b/>
          <w:u w:val="single"/>
        </w:rPr>
      </w:pPr>
    </w:p>
    <w:p w:rsidR="00453273" w:rsidRPr="00EC1AEF" w:rsidRDefault="00453273" w:rsidP="00EB4AE1">
      <w:pPr>
        <w:pStyle w:val="Prrafodelista"/>
        <w:ind w:left="1080"/>
        <w:rPr>
          <w:rFonts w:ascii="Century Gothic" w:hAnsi="Century Gothic"/>
        </w:rPr>
      </w:pPr>
    </w:p>
    <w:p w:rsidR="00EB4AE1" w:rsidRDefault="009216AE" w:rsidP="00EC1AEF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9216AE">
        <w:rPr>
          <w:rFonts w:ascii="Century Gothic" w:hAnsi="Century Gothic"/>
          <w:b/>
          <w:sz w:val="28"/>
          <w:szCs w:val="28"/>
        </w:rPr>
        <w:t>Lee</w:t>
      </w:r>
      <w:r>
        <w:rPr>
          <w:rFonts w:ascii="Century Gothic" w:hAnsi="Century Gothic"/>
          <w:sz w:val="28"/>
          <w:szCs w:val="28"/>
        </w:rPr>
        <w:t xml:space="preserve"> el documento de información </w:t>
      </w:r>
      <w:proofErr w:type="gramStart"/>
      <w:r>
        <w:rPr>
          <w:rFonts w:ascii="Century Gothic" w:hAnsi="Century Gothic"/>
          <w:sz w:val="28"/>
          <w:szCs w:val="28"/>
        </w:rPr>
        <w:t>( Anexo</w:t>
      </w:r>
      <w:proofErr w:type="gramEnd"/>
      <w:r>
        <w:rPr>
          <w:rFonts w:ascii="Century Gothic" w:hAnsi="Century Gothic"/>
          <w:sz w:val="28"/>
          <w:szCs w:val="28"/>
        </w:rPr>
        <w:t xml:space="preserve"> de la guías) y </w:t>
      </w:r>
      <w:r w:rsidRPr="009216AE">
        <w:rPr>
          <w:rFonts w:ascii="Century Gothic" w:hAnsi="Century Gothic"/>
          <w:b/>
          <w:sz w:val="28"/>
          <w:szCs w:val="28"/>
        </w:rPr>
        <w:t>c</w:t>
      </w:r>
      <w:r w:rsidR="00EB4AE1" w:rsidRPr="009216AE">
        <w:rPr>
          <w:rFonts w:ascii="Century Gothic" w:hAnsi="Century Gothic"/>
          <w:b/>
          <w:sz w:val="28"/>
          <w:szCs w:val="28"/>
        </w:rPr>
        <w:t>omplete</w:t>
      </w:r>
      <w:r w:rsidR="00EB4AE1">
        <w:rPr>
          <w:rFonts w:ascii="Century Gothic" w:hAnsi="Century Gothic"/>
          <w:sz w:val="28"/>
          <w:szCs w:val="28"/>
        </w:rPr>
        <w:t xml:space="preserve"> el siguiente cuadro </w:t>
      </w:r>
      <w:proofErr w:type="spellStart"/>
      <w:r w:rsidR="00EB4AE1">
        <w:rPr>
          <w:rFonts w:ascii="Century Gothic" w:hAnsi="Century Gothic"/>
          <w:sz w:val="28"/>
          <w:szCs w:val="28"/>
        </w:rPr>
        <w:t>comprativo</w:t>
      </w:r>
      <w:proofErr w:type="spellEnd"/>
    </w:p>
    <w:tbl>
      <w:tblPr>
        <w:tblStyle w:val="Tablaconcuadrcula"/>
        <w:tblpPr w:leftFromText="141" w:rightFromText="141" w:vertAnchor="text" w:horzAnchor="margin" w:tblpY="80"/>
        <w:tblW w:w="9890" w:type="dxa"/>
        <w:tblLook w:val="04A0" w:firstRow="1" w:lastRow="0" w:firstColumn="1" w:lastColumn="0" w:noHBand="0" w:noVBand="1"/>
      </w:tblPr>
      <w:tblGrid>
        <w:gridCol w:w="2472"/>
        <w:gridCol w:w="2472"/>
        <w:gridCol w:w="2473"/>
        <w:gridCol w:w="2473"/>
      </w:tblGrid>
      <w:tr w:rsidR="00EB4AE1" w:rsidRPr="00EB4AE1" w:rsidTr="00EB4AE1">
        <w:trPr>
          <w:trHeight w:val="392"/>
        </w:trPr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B4AE1">
              <w:rPr>
                <w:rFonts w:ascii="Century Gothic" w:hAnsi="Century Gothic"/>
                <w:sz w:val="28"/>
                <w:szCs w:val="28"/>
              </w:rPr>
              <w:t xml:space="preserve">Estado afectivo </w:t>
            </w:r>
          </w:p>
        </w:tc>
        <w:tc>
          <w:tcPr>
            <w:tcW w:w="2472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Emocion</w:t>
            </w:r>
            <w:proofErr w:type="spellEnd"/>
          </w:p>
        </w:tc>
        <w:tc>
          <w:tcPr>
            <w:tcW w:w="2473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Sentimiento</w:t>
            </w:r>
          </w:p>
        </w:tc>
        <w:tc>
          <w:tcPr>
            <w:tcW w:w="2473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Pasion</w:t>
            </w:r>
            <w:proofErr w:type="spellEnd"/>
          </w:p>
        </w:tc>
      </w:tr>
      <w:tr w:rsidR="00EB4AE1" w:rsidRPr="00EB4AE1" w:rsidTr="00EB4AE1">
        <w:trPr>
          <w:trHeight w:val="1253"/>
        </w:trPr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B4AE1">
              <w:rPr>
                <w:rFonts w:ascii="Century Gothic" w:hAnsi="Century Gothic"/>
                <w:sz w:val="28"/>
                <w:szCs w:val="28"/>
              </w:rPr>
              <w:t xml:space="preserve">Definición </w:t>
            </w:r>
          </w:p>
        </w:tc>
        <w:tc>
          <w:tcPr>
            <w:tcW w:w="2472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Intenso y de breve duración, acompañado de cambios corporales </w:t>
            </w:r>
          </w:p>
        </w:tc>
        <w:tc>
          <w:tcPr>
            <w:tcW w:w="2473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Mayor duración que la emoción y menor intensidad que la pasión. </w:t>
            </w:r>
          </w:p>
        </w:tc>
        <w:tc>
          <w:tcPr>
            <w:tcW w:w="2473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Estado afectivo intenso, que puede ser duradero y estable</w:t>
            </w:r>
          </w:p>
        </w:tc>
      </w:tr>
      <w:tr w:rsidR="00EB4AE1" w:rsidRPr="00EB4AE1" w:rsidTr="00EB4AE1">
        <w:trPr>
          <w:trHeight w:val="1342"/>
        </w:trPr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B4AE1">
              <w:rPr>
                <w:rFonts w:ascii="Century Gothic" w:hAnsi="Century Gothic"/>
                <w:sz w:val="28"/>
                <w:szCs w:val="28"/>
              </w:rPr>
              <w:t>Ejemplo</w:t>
            </w:r>
          </w:p>
        </w:tc>
        <w:tc>
          <w:tcPr>
            <w:tcW w:w="2472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Ira</w:t>
            </w:r>
          </w:p>
        </w:tc>
        <w:tc>
          <w:tcPr>
            <w:tcW w:w="2473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admiración</w:t>
            </w:r>
          </w:p>
        </w:tc>
        <w:tc>
          <w:tcPr>
            <w:tcW w:w="2473" w:type="dxa"/>
          </w:tcPr>
          <w:p w:rsidR="00EB4AE1" w:rsidRPr="00EB4AE1" w:rsidRDefault="003A1C78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Pasion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por el futbol.</w:t>
            </w:r>
          </w:p>
        </w:tc>
      </w:tr>
    </w:tbl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Pr="003A1C78" w:rsidRDefault="00EB4AE1" w:rsidP="00EB4AE1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8"/>
          <w:szCs w:val="28"/>
        </w:rPr>
      </w:pPr>
      <w:r w:rsidRPr="00EB4AE1">
        <w:rPr>
          <w:rFonts w:ascii="Century Gothic" w:hAnsi="Century Gothic"/>
          <w:b/>
          <w:sz w:val="28"/>
          <w:szCs w:val="28"/>
        </w:rPr>
        <w:t xml:space="preserve">Investiga </w:t>
      </w:r>
      <w:r>
        <w:rPr>
          <w:rFonts w:ascii="Century Gothic" w:hAnsi="Century Gothic"/>
          <w:sz w:val="28"/>
          <w:szCs w:val="28"/>
        </w:rPr>
        <w:t>el significado del concepto resiliencia</w:t>
      </w:r>
    </w:p>
    <w:p w:rsidR="003A1C78" w:rsidRPr="003A1C78" w:rsidRDefault="003A1C78" w:rsidP="003A1C78">
      <w:pPr>
        <w:ind w:left="360"/>
        <w:rPr>
          <w:rFonts w:ascii="Century Gothic" w:hAnsi="Century Gothic"/>
          <w:b/>
          <w:sz w:val="28"/>
          <w:szCs w:val="28"/>
        </w:rPr>
      </w:pPr>
      <w:r w:rsidRPr="003A1C78">
        <w:rPr>
          <w:rFonts w:ascii="Century Gothic" w:hAnsi="Century Gothic"/>
          <w:b/>
          <w:sz w:val="28"/>
          <w:szCs w:val="28"/>
        </w:rPr>
        <w:t>La resiliencia es el proceso de adaptarse bien a la adversidad, a un trauma, tragedia, amenaza, o fuentes de tensión significativas, como problemas familiares o de relaciones personales, problemas serios de salud o situaciones estresantes del trabajo o financieras.</w:t>
      </w:r>
    </w:p>
    <w:p w:rsidR="00EB4AE1" w:rsidRPr="00C20A56" w:rsidRDefault="00EB4AE1" w:rsidP="00EB4AE1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Observa </w:t>
      </w:r>
      <w:r w:rsidRPr="00EB4AE1">
        <w:rPr>
          <w:rFonts w:ascii="Century Gothic" w:hAnsi="Century Gothic"/>
          <w:sz w:val="28"/>
          <w:szCs w:val="28"/>
        </w:rPr>
        <w:t>el siguiente</w:t>
      </w:r>
      <w:r>
        <w:rPr>
          <w:rFonts w:ascii="Century Gothic" w:hAnsi="Century Gothic"/>
          <w:sz w:val="28"/>
          <w:szCs w:val="28"/>
        </w:rPr>
        <w:t xml:space="preserve"> video</w:t>
      </w:r>
    </w:p>
    <w:p w:rsidR="00C20A56" w:rsidRPr="00EB4AE1" w:rsidRDefault="00EC37B3" w:rsidP="00C20A56">
      <w:pPr>
        <w:pStyle w:val="Prrafodelista"/>
        <w:jc w:val="center"/>
        <w:rPr>
          <w:rFonts w:ascii="Century Gothic" w:hAnsi="Century Gothic"/>
          <w:b/>
          <w:sz w:val="28"/>
          <w:szCs w:val="28"/>
        </w:rPr>
      </w:pPr>
      <w:hyperlink r:id="rId5" w:history="1">
        <w:r w:rsidR="00C20A56" w:rsidRPr="00C20A56">
          <w:rPr>
            <w:rStyle w:val="Hipervnculo"/>
            <w:rFonts w:ascii="Century Gothic" w:hAnsi="Century Gothic"/>
            <w:b/>
            <w:sz w:val="28"/>
            <w:szCs w:val="28"/>
          </w:rPr>
          <w:t>https://www.youtube.com/watch?v=x0uFiR3TCYo&amp;t=15s</w:t>
        </w:r>
      </w:hyperlink>
    </w:p>
    <w:p w:rsidR="00EC1AEF" w:rsidRDefault="00EC1AEF" w:rsidP="00EC1AEF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4C00F4">
        <w:rPr>
          <w:rFonts w:ascii="Century Gothic" w:hAnsi="Century Gothic"/>
          <w:b/>
          <w:sz w:val="28"/>
          <w:szCs w:val="28"/>
        </w:rPr>
        <w:t xml:space="preserve">Elabore </w:t>
      </w:r>
      <w:r w:rsidR="00EB4AE1">
        <w:rPr>
          <w:rFonts w:ascii="Century Gothic" w:hAnsi="Century Gothic"/>
          <w:sz w:val="28"/>
          <w:szCs w:val="28"/>
        </w:rPr>
        <w:t>una reflexión de no menos de 10</w:t>
      </w:r>
      <w:r w:rsidRPr="004C00F4">
        <w:rPr>
          <w:rFonts w:ascii="Century Gothic" w:hAnsi="Century Gothic"/>
          <w:sz w:val="28"/>
          <w:szCs w:val="28"/>
        </w:rPr>
        <w:t xml:space="preserve"> siete renglones completos teniendo en</w:t>
      </w:r>
      <w:r w:rsidR="004C00F4" w:rsidRPr="004C00F4">
        <w:rPr>
          <w:rFonts w:ascii="Century Gothic" w:hAnsi="Century Gothic"/>
          <w:sz w:val="28"/>
          <w:szCs w:val="28"/>
        </w:rPr>
        <w:t xml:space="preserve"> cuenta el caso de A. Frank </w:t>
      </w:r>
      <w:proofErr w:type="gramStart"/>
      <w:r w:rsidR="004C00F4" w:rsidRPr="004C00F4">
        <w:rPr>
          <w:rFonts w:ascii="Century Gothic" w:hAnsi="Century Gothic"/>
          <w:sz w:val="28"/>
          <w:szCs w:val="28"/>
        </w:rPr>
        <w:t>y  el</w:t>
      </w:r>
      <w:proofErr w:type="gramEnd"/>
      <w:r w:rsidR="004C00F4" w:rsidRPr="004C00F4">
        <w:rPr>
          <w:rFonts w:ascii="Century Gothic" w:hAnsi="Century Gothic"/>
          <w:sz w:val="28"/>
          <w:szCs w:val="28"/>
        </w:rPr>
        <w:t xml:space="preserve"> concepto</w:t>
      </w:r>
      <w:r w:rsidRPr="004C00F4">
        <w:rPr>
          <w:rFonts w:ascii="Century Gothic" w:hAnsi="Century Gothic"/>
          <w:sz w:val="28"/>
          <w:szCs w:val="28"/>
        </w:rPr>
        <w:t xml:space="preserve"> resiliencia.</w:t>
      </w:r>
    </w:p>
    <w:p w:rsidR="00E04EF1" w:rsidRDefault="00E04EF1" w:rsidP="00E04EF1">
      <w:pPr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Ana Frank n</w:t>
      </w:r>
      <w:r w:rsidRPr="00E04EF1">
        <w:rPr>
          <w:rFonts w:ascii="Century Gothic" w:hAnsi="Century Gothic"/>
          <w:sz w:val="28"/>
          <w:szCs w:val="28"/>
        </w:rPr>
        <w:t xml:space="preserve">ació en Fráncfort del Meno, el 12 de junio de 1929 bajo el nombre de </w:t>
      </w:r>
      <w:proofErr w:type="spellStart"/>
      <w:r w:rsidRPr="00E04EF1">
        <w:rPr>
          <w:rFonts w:ascii="Century Gothic" w:hAnsi="Century Gothic"/>
          <w:sz w:val="28"/>
          <w:szCs w:val="28"/>
        </w:rPr>
        <w:t>Annelies</w:t>
      </w:r>
      <w:proofErr w:type="spellEnd"/>
      <w:r w:rsidRPr="00E04EF1">
        <w:rPr>
          <w:rFonts w:ascii="Century Gothic" w:hAnsi="Century Gothic"/>
          <w:sz w:val="28"/>
          <w:szCs w:val="28"/>
        </w:rPr>
        <w:t xml:space="preserve"> Marie Frank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E04EF1" w:rsidRDefault="00E04EF1" w:rsidP="00E04EF1">
      <w:pPr>
        <w:ind w:left="360"/>
        <w:rPr>
          <w:rFonts w:ascii="Century Gothic" w:hAnsi="Century Gothic"/>
          <w:sz w:val="28"/>
          <w:szCs w:val="28"/>
        </w:rPr>
      </w:pPr>
      <w:r w:rsidRPr="00E04EF1">
        <w:rPr>
          <w:rFonts w:ascii="Century Gothic" w:hAnsi="Century Gothic"/>
          <w:sz w:val="28"/>
          <w:szCs w:val="28"/>
        </w:rPr>
        <w:t xml:space="preserve">reconocida por el “Diario de Ana Frank”, una edición de su diario íntimo donde dejó inscritas sus vivencias de los casi dos años y medio que pasó ocultándose con su familia y cuatro personas más de los nazis en Ámsterdam (Países Bajos) </w:t>
      </w:r>
    </w:p>
    <w:p w:rsidR="00E04EF1" w:rsidRDefault="00E04EF1" w:rsidP="00E04EF1">
      <w:pPr>
        <w:ind w:left="360"/>
        <w:rPr>
          <w:rFonts w:ascii="Century Gothic" w:hAnsi="Century Gothic"/>
          <w:sz w:val="28"/>
          <w:szCs w:val="28"/>
        </w:rPr>
      </w:pPr>
      <w:r w:rsidRPr="00E04EF1">
        <w:rPr>
          <w:rFonts w:ascii="Century Gothic" w:hAnsi="Century Gothic"/>
          <w:sz w:val="28"/>
          <w:szCs w:val="28"/>
        </w:rPr>
        <w:t>Ana fue la segunda hija de Otto Heinrich Frank y de Edith, una familia de judíos alemanes</w:t>
      </w:r>
    </w:p>
    <w:p w:rsidR="00E04EF1" w:rsidRDefault="00E04EF1" w:rsidP="00E04EF1">
      <w:pPr>
        <w:ind w:left="360"/>
        <w:rPr>
          <w:rFonts w:ascii="Century Gothic" w:hAnsi="Century Gothic"/>
          <w:sz w:val="28"/>
          <w:szCs w:val="28"/>
        </w:rPr>
      </w:pPr>
      <w:r w:rsidRPr="00E04EF1">
        <w:rPr>
          <w:rFonts w:ascii="Century Gothic" w:hAnsi="Century Gothic"/>
          <w:sz w:val="28"/>
          <w:szCs w:val="28"/>
        </w:rPr>
        <w:lastRenderedPageBreak/>
        <w:t>En 1940, durante la Segunda Guerra Mundial</w:t>
      </w:r>
      <w:r>
        <w:rPr>
          <w:rFonts w:ascii="Century Gothic" w:hAnsi="Century Gothic"/>
          <w:sz w:val="28"/>
          <w:szCs w:val="28"/>
        </w:rPr>
        <w:t xml:space="preserve"> </w:t>
      </w:r>
      <w:r w:rsidRPr="00E04EF1">
        <w:rPr>
          <w:rFonts w:ascii="Century Gothic" w:hAnsi="Century Gothic"/>
          <w:sz w:val="28"/>
          <w:szCs w:val="28"/>
        </w:rPr>
        <w:t xml:space="preserve">Ana y su familia consiguieron esconderse en unas habitaciones traseras abandonadas y aisladas de un edificio de oficinas de </w:t>
      </w:r>
      <w:proofErr w:type="spellStart"/>
      <w:r w:rsidRPr="00E04EF1">
        <w:rPr>
          <w:rFonts w:ascii="Century Gothic" w:hAnsi="Century Gothic"/>
          <w:sz w:val="28"/>
          <w:szCs w:val="28"/>
        </w:rPr>
        <w:t>Prinsengracht</w:t>
      </w:r>
      <w:proofErr w:type="spellEnd"/>
      <w:r w:rsidRPr="00E04EF1">
        <w:rPr>
          <w:rFonts w:ascii="Century Gothic" w:hAnsi="Century Gothic"/>
          <w:sz w:val="28"/>
          <w:szCs w:val="28"/>
        </w:rPr>
        <w:t>, un canal en el lado occidental de Ámsterdam, donde permanecieron ocultos desde el 9 de julio 1942</w:t>
      </w:r>
    </w:p>
    <w:p w:rsidR="00E04EF1" w:rsidRPr="00E04EF1" w:rsidRDefault="00E04EF1" w:rsidP="00E04EF1">
      <w:pPr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Ana Frank</w:t>
      </w:r>
      <w:r w:rsidR="00A4539A">
        <w:rPr>
          <w:rFonts w:ascii="Century Gothic" w:hAnsi="Century Gothic"/>
          <w:sz w:val="28"/>
          <w:szCs w:val="28"/>
        </w:rPr>
        <w:t xml:space="preserve"> fue una persona </w:t>
      </w:r>
      <w:proofErr w:type="spellStart"/>
      <w:r w:rsidR="00A4539A">
        <w:rPr>
          <w:rFonts w:ascii="Century Gothic" w:hAnsi="Century Gothic"/>
          <w:sz w:val="28"/>
          <w:szCs w:val="28"/>
        </w:rPr>
        <w:t>resiliente</w:t>
      </w:r>
      <w:proofErr w:type="spellEnd"/>
      <w:r w:rsidR="00A4539A">
        <w:rPr>
          <w:rFonts w:ascii="Century Gothic" w:hAnsi="Century Gothic"/>
          <w:sz w:val="28"/>
          <w:szCs w:val="28"/>
        </w:rPr>
        <w:t xml:space="preserve"> ya que ella de su encierro y de la guerra que estaba ocurriendo a su alrededor, de las muertes de la gente, ella fue capaz de no decaer, de adaptarse al mudarse a</w:t>
      </w:r>
      <w:r w:rsidR="00A4539A" w:rsidRPr="00A4539A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A4539A" w:rsidRPr="00A4539A">
        <w:rPr>
          <w:rFonts w:ascii="Century Gothic" w:hAnsi="Century Gothic"/>
          <w:sz w:val="28"/>
          <w:szCs w:val="28"/>
        </w:rPr>
        <w:t>Prinsengracht</w:t>
      </w:r>
      <w:proofErr w:type="spellEnd"/>
      <w:r w:rsidR="00A4539A">
        <w:rPr>
          <w:rFonts w:ascii="Century Gothic" w:hAnsi="Century Gothic"/>
          <w:sz w:val="28"/>
          <w:szCs w:val="28"/>
        </w:rPr>
        <w:t>, se adaptó bien a la adversidad y dio todo hasta el final.</w:t>
      </w:r>
      <w:bookmarkStart w:id="0" w:name="_GoBack"/>
      <w:bookmarkEnd w:id="0"/>
    </w:p>
    <w:p w:rsidR="006F5A73" w:rsidRDefault="006F5A73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Pr="004C00F4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lastRenderedPageBreak/>
        <w:drawing>
          <wp:inline distT="0" distB="0" distL="0" distR="0" wp14:anchorId="264B58FF">
            <wp:extent cx="5400000" cy="720000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0A56" w:rsidRPr="004C00F4" w:rsidSect="00EC1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837C0"/>
    <w:multiLevelType w:val="hybridMultilevel"/>
    <w:tmpl w:val="4896387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B3A5C"/>
    <w:multiLevelType w:val="hybridMultilevel"/>
    <w:tmpl w:val="E1C831BC"/>
    <w:lvl w:ilvl="0" w:tplc="DD0822A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EF"/>
    <w:rsid w:val="003A1C78"/>
    <w:rsid w:val="00453273"/>
    <w:rsid w:val="004C00F4"/>
    <w:rsid w:val="006F5A73"/>
    <w:rsid w:val="009216AE"/>
    <w:rsid w:val="00A4539A"/>
    <w:rsid w:val="00C20A56"/>
    <w:rsid w:val="00E04EF1"/>
    <w:rsid w:val="00EB4AE1"/>
    <w:rsid w:val="00EC1AEF"/>
    <w:rsid w:val="00EC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9688C"/>
  <w15:docId w15:val="{E0B88D3D-EAD2-466E-BE4E-C9710D41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A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1A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EC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0A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0uFiR3TCYo&amp;t=15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TECLA</dc:creator>
  <cp:lastModifiedBy>usuario</cp:lastModifiedBy>
  <cp:revision>2</cp:revision>
  <dcterms:created xsi:type="dcterms:W3CDTF">2022-11-29T22:08:00Z</dcterms:created>
  <dcterms:modified xsi:type="dcterms:W3CDTF">2022-11-29T22:08:00Z</dcterms:modified>
</cp:coreProperties>
</file>