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BDB" w:rsidRDefault="00702BDB" w:rsidP="00702BDB">
      <w:pPr>
        <w:pStyle w:val="Encabezado"/>
        <w:spacing w:line="276" w:lineRule="auto"/>
        <w:jc w:val="center"/>
        <w:rPr>
          <w:rFonts w:cstheme="minorHAnsi"/>
          <w:b/>
          <w:bCs/>
          <w:i/>
          <w:sz w:val="36"/>
          <w:szCs w:val="36"/>
          <w:u w:val="single"/>
          <w:lang w:val="es-MX"/>
        </w:rPr>
      </w:pPr>
      <w:r>
        <w:rPr>
          <w:noProof/>
          <w:lang w:val="en-US"/>
        </w:rPr>
        <w:drawing>
          <wp:anchor distT="0" distB="0" distL="114300" distR="114300" simplePos="0" relativeHeight="251659264" behindDoc="0" locked="0" layoutInCell="1" allowOverlap="1" wp14:anchorId="493B9F6A" wp14:editId="0F5F7E60">
            <wp:simplePos x="0" y="0"/>
            <wp:positionH relativeFrom="column">
              <wp:posOffset>5015865</wp:posOffset>
            </wp:positionH>
            <wp:positionV relativeFrom="paragraph">
              <wp:posOffset>0</wp:posOffset>
            </wp:positionV>
            <wp:extent cx="1038225" cy="12858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bCs/>
          <w:i/>
          <w:sz w:val="36"/>
          <w:szCs w:val="36"/>
          <w:u w:val="single"/>
          <w:lang w:val="es-MX"/>
        </w:rPr>
        <w:t>COLEGIO: SAN JOSÉ</w:t>
      </w:r>
    </w:p>
    <w:p w:rsidR="00702BDB" w:rsidRDefault="00702BDB" w:rsidP="00702BDB">
      <w:pPr>
        <w:pStyle w:val="Encabezado"/>
        <w:spacing w:line="276" w:lineRule="auto"/>
        <w:jc w:val="center"/>
        <w:rPr>
          <w:rFonts w:cstheme="minorHAnsi"/>
          <w:b/>
          <w:bCs/>
          <w:i/>
          <w:sz w:val="36"/>
          <w:szCs w:val="36"/>
          <w:u w:val="single"/>
          <w:lang w:val="es-MX"/>
        </w:rPr>
      </w:pPr>
    </w:p>
    <w:p w:rsidR="00702BDB" w:rsidRDefault="00702BDB" w:rsidP="00702BDB">
      <w:pPr>
        <w:pStyle w:val="Encabezado"/>
        <w:spacing w:line="360" w:lineRule="auto"/>
        <w:jc w:val="both"/>
        <w:rPr>
          <w:rFonts w:cstheme="minorHAnsi"/>
          <w:b/>
          <w:bCs/>
          <w:i/>
          <w:sz w:val="28"/>
          <w:szCs w:val="28"/>
          <w:lang w:val="es-MX"/>
        </w:rPr>
      </w:pPr>
      <w:r>
        <w:rPr>
          <w:rFonts w:cstheme="minorHAnsi"/>
          <w:bCs/>
          <w:sz w:val="28"/>
          <w:szCs w:val="28"/>
          <w:lang w:val="es-MX"/>
        </w:rPr>
        <w:t xml:space="preserve">MATERIA: </w:t>
      </w:r>
      <w:r>
        <w:rPr>
          <w:rFonts w:cstheme="minorHAnsi"/>
          <w:b/>
          <w:bCs/>
          <w:i/>
          <w:sz w:val="28"/>
          <w:szCs w:val="28"/>
          <w:lang w:val="es-MX"/>
        </w:rPr>
        <w:t>MARCO JURIDICO</w:t>
      </w:r>
    </w:p>
    <w:p w:rsidR="00702BDB" w:rsidRDefault="00702BDB" w:rsidP="00702BDB">
      <w:pPr>
        <w:pStyle w:val="Encabezado"/>
        <w:spacing w:line="360" w:lineRule="auto"/>
        <w:jc w:val="both"/>
        <w:rPr>
          <w:rFonts w:cstheme="minorHAnsi"/>
          <w:bCs/>
          <w:sz w:val="28"/>
          <w:szCs w:val="28"/>
          <w:lang w:val="es-MX"/>
        </w:rPr>
      </w:pPr>
      <w:r>
        <w:rPr>
          <w:rFonts w:cstheme="minorHAnsi"/>
          <w:bCs/>
          <w:sz w:val="28"/>
          <w:szCs w:val="28"/>
          <w:lang w:val="es-MX"/>
        </w:rPr>
        <w:t>Curso: Sexto     División: Química</w:t>
      </w:r>
    </w:p>
    <w:p w:rsidR="00702BDB" w:rsidRDefault="00702BDB" w:rsidP="00702BDB">
      <w:pPr>
        <w:pStyle w:val="Encabezado"/>
        <w:spacing w:line="360" w:lineRule="auto"/>
        <w:jc w:val="both"/>
        <w:rPr>
          <w:rFonts w:cstheme="minorHAnsi"/>
          <w:bCs/>
          <w:sz w:val="28"/>
          <w:szCs w:val="28"/>
          <w:lang w:val="es-MX"/>
        </w:rPr>
      </w:pPr>
      <w:r>
        <w:rPr>
          <w:rFonts w:cstheme="minorHAnsi"/>
          <w:bCs/>
          <w:sz w:val="28"/>
          <w:szCs w:val="28"/>
          <w:lang w:val="es-MX"/>
        </w:rPr>
        <w:t>Docente: PATRICIA ANAHI POBLETE</w:t>
      </w:r>
    </w:p>
    <w:p w:rsidR="00702BDB" w:rsidRPr="00DE5A83" w:rsidRDefault="00B75A4C" w:rsidP="00B75A4C">
      <w:pPr>
        <w:spacing w:line="480" w:lineRule="auto"/>
        <w:rPr>
          <w:rFonts w:cstheme="minorHAnsi"/>
          <w:b/>
          <w:bCs/>
          <w:sz w:val="28"/>
          <w:szCs w:val="28"/>
          <w:lang w:val="es-MX"/>
        </w:rPr>
      </w:pPr>
      <w:r>
        <w:rPr>
          <w:b/>
          <w:sz w:val="24"/>
          <w:szCs w:val="24"/>
          <w:u w:val="single"/>
          <w:lang w:val="es-AR"/>
        </w:rPr>
        <w:t>GUIA DE ESTUDIO N°</w:t>
      </w:r>
      <w:r w:rsidR="00334B46">
        <w:rPr>
          <w:b/>
          <w:sz w:val="24"/>
          <w:szCs w:val="24"/>
          <w:u w:val="single"/>
          <w:lang w:val="es-AR"/>
        </w:rPr>
        <w:t>3</w:t>
      </w:r>
      <w:r w:rsidRPr="00DE5A83">
        <w:rPr>
          <w:rFonts w:cstheme="minorHAnsi"/>
          <w:bCs/>
          <w:sz w:val="28"/>
          <w:szCs w:val="28"/>
          <w:lang w:val="es-MX"/>
        </w:rPr>
        <w:t>: “</w:t>
      </w:r>
      <w:r w:rsidR="00702BDB" w:rsidRPr="00DE5A83">
        <w:rPr>
          <w:rFonts w:cstheme="minorHAnsi"/>
          <w:b/>
          <w:bCs/>
          <w:sz w:val="28"/>
          <w:szCs w:val="28"/>
          <w:lang w:val="es-MX"/>
        </w:rPr>
        <w:t xml:space="preserve">EL </w:t>
      </w:r>
      <w:r w:rsidR="0061436C">
        <w:rPr>
          <w:rFonts w:cstheme="minorHAnsi"/>
          <w:b/>
          <w:bCs/>
          <w:sz w:val="28"/>
          <w:szCs w:val="28"/>
          <w:lang w:val="es-MX"/>
        </w:rPr>
        <w:t>comienzo de la existencia</w:t>
      </w:r>
      <w:r>
        <w:rPr>
          <w:rFonts w:cstheme="minorHAnsi"/>
          <w:b/>
          <w:bCs/>
          <w:sz w:val="28"/>
          <w:szCs w:val="28"/>
          <w:lang w:val="es-MX"/>
        </w:rPr>
        <w:t xml:space="preserve"> de la vida humana</w:t>
      </w:r>
      <w:r w:rsidR="00702BDB" w:rsidRPr="00DE5A83">
        <w:rPr>
          <w:rFonts w:cstheme="minorHAnsi"/>
          <w:b/>
          <w:bCs/>
          <w:i/>
          <w:sz w:val="28"/>
          <w:szCs w:val="28"/>
          <w:lang w:val="es-MX"/>
        </w:rPr>
        <w:t>”.</w:t>
      </w:r>
    </w:p>
    <w:p w:rsidR="0061436C" w:rsidRPr="00B75A4C" w:rsidRDefault="0061436C" w:rsidP="0061436C">
      <w:pPr>
        <w:jc w:val="center"/>
        <w:rPr>
          <w:rFonts w:ascii="Century Gothic" w:hAnsi="Century Gothic" w:cstheme="minorHAnsi"/>
          <w:b/>
          <w:i/>
          <w:color w:val="FF0000"/>
          <w:sz w:val="24"/>
          <w:szCs w:val="24"/>
          <w:lang w:val="es-AR"/>
        </w:rPr>
      </w:pPr>
      <w:r w:rsidRPr="00B75A4C">
        <w:rPr>
          <w:rFonts w:ascii="Century Gothic" w:hAnsi="Century Gothic" w:cstheme="minorHAnsi"/>
          <w:b/>
          <w:i/>
          <w:color w:val="FF0000"/>
          <w:sz w:val="24"/>
          <w:szCs w:val="24"/>
          <w:lang w:val="es-AR"/>
        </w:rPr>
        <w:t xml:space="preserve">“Comienza haciendo lo que sea necesario; luego haz lo que sea posible; y de repente estarás haciendo lo imposible.”  </w:t>
      </w:r>
    </w:p>
    <w:p w:rsidR="0061436C" w:rsidRPr="00B75A4C" w:rsidRDefault="0061436C" w:rsidP="0061436C">
      <w:pPr>
        <w:jc w:val="center"/>
        <w:rPr>
          <w:rFonts w:ascii="Century Gothic" w:hAnsi="Century Gothic" w:cstheme="minorHAnsi"/>
          <w:b/>
          <w:i/>
          <w:color w:val="FF0000"/>
          <w:sz w:val="24"/>
          <w:szCs w:val="24"/>
          <w:lang w:val="es-AR"/>
        </w:rPr>
      </w:pPr>
      <w:r w:rsidRPr="00B75A4C">
        <w:rPr>
          <w:rFonts w:ascii="Century Gothic" w:hAnsi="Century Gothic" w:cstheme="minorHAnsi"/>
          <w:b/>
          <w:i/>
          <w:color w:val="FF0000"/>
          <w:sz w:val="24"/>
          <w:szCs w:val="24"/>
          <w:lang w:val="es-AR"/>
        </w:rPr>
        <w:t>San Francisco de Asís</w:t>
      </w:r>
    </w:p>
    <w:p w:rsidR="00157380" w:rsidRPr="00334B46" w:rsidRDefault="00157380" w:rsidP="00334B46">
      <w:pPr>
        <w:spacing w:line="276" w:lineRule="auto"/>
        <w:rPr>
          <w:rFonts w:asciiTheme="majorHAnsi" w:hAnsiTheme="majorHAnsi" w:cstheme="majorHAnsi"/>
          <w:b/>
          <w:sz w:val="24"/>
          <w:szCs w:val="24"/>
          <w:u w:val="single"/>
          <w:lang w:val="es-AR"/>
        </w:rPr>
      </w:pPr>
      <w:r w:rsidRPr="00334B46">
        <w:rPr>
          <w:rFonts w:asciiTheme="majorHAnsi" w:hAnsiTheme="majorHAnsi" w:cstheme="majorHAnsi"/>
          <w:b/>
          <w:sz w:val="24"/>
          <w:szCs w:val="24"/>
          <w:u w:val="single"/>
          <w:lang w:val="es-AR"/>
        </w:rPr>
        <w:t>El comienzo de la persona humana en el Código Civil y Comercial.</w:t>
      </w:r>
    </w:p>
    <w:p w:rsidR="00157380" w:rsidRPr="00334B46" w:rsidRDefault="00157380"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Es necesaria analizar el alcance de una de las normas mas debatidas y cuestionadas del nuevo Código Civil y Comercial (en adelante CCYC): el articulo 19 relativo al comienzo de la persona humana, y la consecuente naturaleza del embrión in vitro.</w:t>
      </w:r>
    </w:p>
    <w:p w:rsidR="00157380" w:rsidRPr="00334B46" w:rsidRDefault="00157380"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Todo este debate y cuestionamiento se debe a que existen diferentes posturas respecto a cuándo comienza la persona humana, desde quienes consideran que la persona comienza con la fecundación - incluso posiciones más extremas consideran que las células madre embrionarias, por su capacidad de diferenciación, también son personas - hasta aquellos que la ubican en el nacimiento con vida. Lo cierto es que a medida que avancen las tecnologías médicas, los usos potenciales de los embriones humanos se amplíen y las formas en las que podemos testear y adaptar un embrión se hagan más numerosas, las discusiones, sin duda, seguirán en aumento.</w:t>
      </w:r>
    </w:p>
    <w:p w:rsidR="00157380" w:rsidRPr="00334B46" w:rsidRDefault="00157380"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No obstante, hay que resaltar que estas discusiones, en general, emanan de quienes abordan las cuestiones desde un punto de vista metafísico-teológico, en el que lo que se discute es una cuestión de absolutos.</w:t>
      </w:r>
    </w:p>
    <w:p w:rsidR="00157380" w:rsidRPr="00334B46" w:rsidRDefault="003D74C6"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POR ELLO</w:t>
      </w:r>
      <w:r w:rsidR="00157380" w:rsidRPr="00334B46">
        <w:rPr>
          <w:rFonts w:asciiTheme="majorHAnsi" w:hAnsiTheme="majorHAnsi" w:cstheme="majorHAnsi"/>
          <w:sz w:val="24"/>
          <w:szCs w:val="24"/>
          <w:lang w:val="es-AR"/>
        </w:rPr>
        <w:t xml:space="preserve"> se procurará brindar una visión fundada en argumentos</w:t>
      </w:r>
      <w:r w:rsidRPr="00334B46">
        <w:rPr>
          <w:rFonts w:asciiTheme="majorHAnsi" w:hAnsiTheme="majorHAnsi" w:cstheme="majorHAnsi"/>
          <w:sz w:val="24"/>
          <w:szCs w:val="24"/>
          <w:lang w:val="es-AR"/>
        </w:rPr>
        <w:t xml:space="preserve"> </w:t>
      </w:r>
      <w:r w:rsidR="00157380" w:rsidRPr="00334B46">
        <w:rPr>
          <w:rFonts w:asciiTheme="majorHAnsi" w:hAnsiTheme="majorHAnsi" w:cstheme="majorHAnsi"/>
          <w:sz w:val="24"/>
          <w:szCs w:val="24"/>
          <w:lang w:val="es-AR"/>
        </w:rPr>
        <w:t>jurídicos y bioéticos, acordes y propios de una sociedad plural, democrática y liberal.</w:t>
      </w:r>
    </w:p>
    <w:p w:rsidR="00157380" w:rsidRPr="00334B46" w:rsidRDefault="00157380"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La naturaleza o status que se le otorga al embrión in vitro tiene consecuencias</w:t>
      </w:r>
      <w:r w:rsidR="003D74C6" w:rsidRPr="00334B46">
        <w:rPr>
          <w:rFonts w:asciiTheme="majorHAnsi" w:hAnsiTheme="majorHAnsi" w:cstheme="majorHAnsi"/>
          <w:sz w:val="24"/>
          <w:szCs w:val="24"/>
          <w:lang w:val="es-AR"/>
        </w:rPr>
        <w:t xml:space="preserve"> </w:t>
      </w:r>
      <w:r w:rsidRPr="00334B46">
        <w:rPr>
          <w:rFonts w:asciiTheme="majorHAnsi" w:hAnsiTheme="majorHAnsi" w:cstheme="majorHAnsi"/>
          <w:sz w:val="24"/>
          <w:szCs w:val="24"/>
          <w:lang w:val="es-AR"/>
        </w:rPr>
        <w:t>inmediatas en lo que respecta a las técnicas de reproducción humana asistida (en</w:t>
      </w:r>
      <w:r w:rsidR="003D74C6" w:rsidRPr="00334B46">
        <w:rPr>
          <w:rFonts w:asciiTheme="majorHAnsi" w:hAnsiTheme="majorHAnsi" w:cstheme="majorHAnsi"/>
          <w:sz w:val="24"/>
          <w:szCs w:val="24"/>
          <w:lang w:val="es-AR"/>
        </w:rPr>
        <w:t xml:space="preserve"> </w:t>
      </w:r>
      <w:r w:rsidRPr="00334B46">
        <w:rPr>
          <w:rFonts w:asciiTheme="majorHAnsi" w:hAnsiTheme="majorHAnsi" w:cstheme="majorHAnsi"/>
          <w:sz w:val="24"/>
          <w:szCs w:val="24"/>
          <w:lang w:val="es-AR"/>
        </w:rPr>
        <w:t xml:space="preserve">adelante, TRA) que ofrece </w:t>
      </w:r>
      <w:r w:rsidRPr="00334B46">
        <w:rPr>
          <w:rFonts w:asciiTheme="majorHAnsi" w:hAnsiTheme="majorHAnsi" w:cstheme="majorHAnsi"/>
          <w:sz w:val="24"/>
          <w:szCs w:val="24"/>
          <w:lang w:val="es-AR"/>
        </w:rPr>
        <w:lastRenderedPageBreak/>
        <w:t>o puede ofrecer cada sociedad y el alcance de la</w:t>
      </w:r>
      <w:r w:rsidR="003D74C6" w:rsidRPr="00334B46">
        <w:rPr>
          <w:rFonts w:asciiTheme="majorHAnsi" w:hAnsiTheme="majorHAnsi" w:cstheme="majorHAnsi"/>
          <w:sz w:val="24"/>
          <w:szCs w:val="24"/>
          <w:lang w:val="es-AR"/>
        </w:rPr>
        <w:t xml:space="preserve"> </w:t>
      </w:r>
      <w:r w:rsidRPr="00334B46">
        <w:rPr>
          <w:rFonts w:asciiTheme="majorHAnsi" w:hAnsiTheme="majorHAnsi" w:cstheme="majorHAnsi"/>
          <w:sz w:val="24"/>
          <w:szCs w:val="24"/>
          <w:lang w:val="es-AR"/>
        </w:rPr>
        <w:t>investigación. Ante la falta de acuerdo científico y ontológico, el análisis debe</w:t>
      </w:r>
      <w:r w:rsidR="003D74C6" w:rsidRPr="00334B46">
        <w:rPr>
          <w:rFonts w:asciiTheme="majorHAnsi" w:hAnsiTheme="majorHAnsi" w:cstheme="majorHAnsi"/>
          <w:sz w:val="24"/>
          <w:szCs w:val="24"/>
          <w:lang w:val="es-AR"/>
        </w:rPr>
        <w:t xml:space="preserve"> </w:t>
      </w:r>
      <w:r w:rsidRPr="00334B46">
        <w:rPr>
          <w:rFonts w:asciiTheme="majorHAnsi" w:hAnsiTheme="majorHAnsi" w:cstheme="majorHAnsi"/>
          <w:sz w:val="24"/>
          <w:szCs w:val="24"/>
          <w:lang w:val="es-AR"/>
        </w:rPr>
        <w:t>centrarse en el derecho positivo.</w:t>
      </w:r>
    </w:p>
    <w:p w:rsidR="00157380" w:rsidRPr="00334B46" w:rsidRDefault="00157380" w:rsidP="00334B46">
      <w:pPr>
        <w:spacing w:line="276" w:lineRule="auto"/>
        <w:jc w:val="both"/>
        <w:rPr>
          <w:rFonts w:asciiTheme="majorHAnsi" w:hAnsiTheme="majorHAnsi" w:cstheme="majorHAnsi"/>
          <w:b/>
          <w:sz w:val="24"/>
          <w:szCs w:val="24"/>
          <w:u w:val="single"/>
          <w:lang w:val="es-AR"/>
        </w:rPr>
      </w:pPr>
      <w:r w:rsidRPr="00334B46">
        <w:rPr>
          <w:rFonts w:asciiTheme="majorHAnsi" w:hAnsiTheme="majorHAnsi" w:cstheme="majorHAnsi"/>
          <w:b/>
          <w:sz w:val="24"/>
          <w:szCs w:val="24"/>
          <w:u w:val="single"/>
          <w:lang w:val="es-AR"/>
        </w:rPr>
        <w:t xml:space="preserve"> Una aclaración previa: vida y persona</w:t>
      </w:r>
    </w:p>
    <w:p w:rsidR="00900C92" w:rsidRPr="00334B46" w:rsidRDefault="003D74C6"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E</w:t>
      </w:r>
      <w:r w:rsidR="00157380" w:rsidRPr="00334B46">
        <w:rPr>
          <w:rFonts w:asciiTheme="majorHAnsi" w:hAnsiTheme="majorHAnsi" w:cstheme="majorHAnsi"/>
          <w:sz w:val="24"/>
          <w:szCs w:val="24"/>
          <w:lang w:val="es-AR"/>
        </w:rPr>
        <w:t>l comienzo de la existencia de la persona y el</w:t>
      </w:r>
      <w:r w:rsidRPr="00334B46">
        <w:rPr>
          <w:rFonts w:asciiTheme="majorHAnsi" w:hAnsiTheme="majorHAnsi" w:cstheme="majorHAnsi"/>
          <w:sz w:val="24"/>
          <w:szCs w:val="24"/>
          <w:lang w:val="es-AR"/>
        </w:rPr>
        <w:t xml:space="preserve"> </w:t>
      </w:r>
      <w:r w:rsidR="00157380" w:rsidRPr="00334B46">
        <w:rPr>
          <w:rFonts w:asciiTheme="majorHAnsi" w:hAnsiTheme="majorHAnsi" w:cstheme="majorHAnsi"/>
          <w:sz w:val="24"/>
          <w:szCs w:val="24"/>
          <w:lang w:val="es-AR"/>
        </w:rPr>
        <w:t>comienzo de la vida son conceptos sustancialmente diferentes.</w:t>
      </w:r>
      <w:r w:rsidR="00157380" w:rsidRPr="00334B46">
        <w:rPr>
          <w:rFonts w:asciiTheme="majorHAnsi" w:hAnsiTheme="majorHAnsi" w:cstheme="majorHAnsi"/>
          <w:sz w:val="24"/>
          <w:szCs w:val="24"/>
          <w:lang w:val="es-AR"/>
        </w:rPr>
        <w:cr/>
      </w:r>
      <w:r w:rsidR="0073612D" w:rsidRPr="00334B46">
        <w:rPr>
          <w:rFonts w:asciiTheme="majorHAnsi" w:hAnsiTheme="majorHAnsi" w:cstheme="majorHAnsi"/>
          <w:sz w:val="24"/>
          <w:szCs w:val="24"/>
          <w:lang w:val="es-AR"/>
        </w:rPr>
        <w:t xml:space="preserve">En primer </w:t>
      </w:r>
      <w:r w:rsidR="00900C92" w:rsidRPr="00334B46">
        <w:rPr>
          <w:rFonts w:asciiTheme="majorHAnsi" w:hAnsiTheme="majorHAnsi" w:cstheme="majorHAnsi"/>
          <w:sz w:val="24"/>
          <w:szCs w:val="24"/>
          <w:lang w:val="es-AR"/>
        </w:rPr>
        <w:t>lugar,</w:t>
      </w:r>
      <w:r w:rsidR="0073612D" w:rsidRPr="00334B46">
        <w:rPr>
          <w:rFonts w:asciiTheme="majorHAnsi" w:hAnsiTheme="majorHAnsi" w:cstheme="majorHAnsi"/>
          <w:sz w:val="24"/>
          <w:szCs w:val="24"/>
          <w:lang w:val="es-AR"/>
        </w:rPr>
        <w:t xml:space="preserve"> cabe decir que la cuestión sobre el inicio de la vida humana es uno de los interrogantes más complejos sobre los que aún no existe consenso en ningún campo y disciplina. Al respecto, la Corte IDH en el caso “Artavia Murillo” que se verá luego, sostuvo que “se trata de una cuestión valorada de diversas formas desde una perspectiva biológica, médica, ética, moral, filosófica y religiosa”, y coincidió con tribunales internacionales y nacionales, 5“en el sentido de que no existe una definición consensuada sobre el inicio de la vida”. </w:t>
      </w:r>
    </w:p>
    <w:p w:rsidR="00900C92" w:rsidRPr="00334B46" w:rsidRDefault="00900C92"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Pero,</w:t>
      </w:r>
      <w:r w:rsidR="0073612D" w:rsidRPr="00334B46">
        <w:rPr>
          <w:rFonts w:asciiTheme="majorHAnsi" w:hAnsiTheme="majorHAnsi" w:cstheme="majorHAnsi"/>
          <w:sz w:val="24"/>
          <w:szCs w:val="24"/>
          <w:lang w:val="es-AR"/>
        </w:rPr>
        <w:t xml:space="preserve"> además, el concepto de “vida” puede aplicarse tanto a células individuales como al conjunto de células que forman un embrión o un adulto. Por consiguiente, la gameta femenina (óvulo), la masculina (espermatozoide), y el cigoto que se forma por la unión de ambas, están vivos.</w:t>
      </w:r>
    </w:p>
    <w:p w:rsidR="002E458E" w:rsidRPr="00334B46" w:rsidRDefault="0073612D"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 Quizás la forma más sencilla de comprender la diferencia entre el comienzo de la existencia de la persona y el comienzo de la vida es compararlas con el concepto inverso, es decir la muerte o finalización. La ciencia y la ley establecen criterios estrictos para definir la muerte o finalización de la existencia de una persona aun cuando gran parte de sus células sigan vivas por un tiempo no despreciable. Concretamente, imaginemos un caso de muerte encefálica. Obviamente en ese cuerpo hay muchas células vivas, incluso el corazón puede seguir latiendo (precisamente a los efectos de un trasplante, fin </w:t>
      </w:r>
      <w:r w:rsidR="002E458E" w:rsidRPr="00334B46">
        <w:rPr>
          <w:rFonts w:asciiTheme="majorHAnsi" w:hAnsiTheme="majorHAnsi" w:cstheme="majorHAnsi"/>
          <w:sz w:val="24"/>
          <w:szCs w:val="24"/>
          <w:lang w:val="es-AR"/>
        </w:rPr>
        <w:t>último</w:t>
      </w:r>
      <w:r w:rsidRPr="00334B46">
        <w:rPr>
          <w:rFonts w:asciiTheme="majorHAnsi" w:hAnsiTheme="majorHAnsi" w:cstheme="majorHAnsi"/>
          <w:sz w:val="24"/>
          <w:szCs w:val="24"/>
          <w:lang w:val="es-AR"/>
        </w:rPr>
        <w:t xml:space="preserve"> del establecimiento </w:t>
      </w:r>
      <w:r w:rsidR="002E458E" w:rsidRPr="00334B46">
        <w:rPr>
          <w:rFonts w:asciiTheme="majorHAnsi" w:hAnsiTheme="majorHAnsi" w:cstheme="majorHAnsi"/>
          <w:sz w:val="24"/>
          <w:szCs w:val="24"/>
          <w:lang w:val="es-AR"/>
        </w:rPr>
        <w:t>médico</w:t>
      </w:r>
      <w:r w:rsidRPr="00334B46">
        <w:rPr>
          <w:rFonts w:asciiTheme="majorHAnsi" w:hAnsiTheme="majorHAnsi" w:cstheme="majorHAnsi"/>
          <w:sz w:val="24"/>
          <w:szCs w:val="24"/>
          <w:lang w:val="es-AR"/>
        </w:rPr>
        <w:t xml:space="preserve"> del criterio de muerte encefálica), no </w:t>
      </w:r>
      <w:r w:rsidR="002E458E" w:rsidRPr="00334B46">
        <w:rPr>
          <w:rFonts w:asciiTheme="majorHAnsi" w:hAnsiTheme="majorHAnsi" w:cstheme="majorHAnsi"/>
          <w:sz w:val="24"/>
          <w:szCs w:val="24"/>
          <w:lang w:val="es-AR"/>
        </w:rPr>
        <w:t>obstante,</w:t>
      </w:r>
      <w:r w:rsidRPr="00334B46">
        <w:rPr>
          <w:rFonts w:asciiTheme="majorHAnsi" w:hAnsiTheme="majorHAnsi" w:cstheme="majorHAnsi"/>
          <w:sz w:val="24"/>
          <w:szCs w:val="24"/>
          <w:lang w:val="es-AR"/>
        </w:rPr>
        <w:t xml:space="preserve"> jurídicamente la persona está muerta. </w:t>
      </w:r>
    </w:p>
    <w:p w:rsidR="002E458E" w:rsidRPr="00334B46" w:rsidRDefault="0073612D"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Hecha la distinción, la función de un código civil es establecer desde cuándo comienza jurídicamente la persona, el régimen de la filiación y las consecuencias o</w:t>
      </w:r>
      <w:r w:rsidR="002E458E" w:rsidRPr="00334B46">
        <w:rPr>
          <w:rFonts w:asciiTheme="majorHAnsi" w:hAnsiTheme="majorHAnsi" w:cstheme="majorHAnsi"/>
          <w:sz w:val="24"/>
          <w:szCs w:val="24"/>
          <w:lang w:val="es-AR"/>
        </w:rPr>
        <w:t xml:space="preserve"> efectos de la personalidad y de los lazos jurídicos creados (derecho sucesorio, derecho de alimentos, etc.). ¿Acaso un embrión in vitro podría heredar? ¿O se podría reclamar alimentos en su favor? </w:t>
      </w:r>
    </w:p>
    <w:p w:rsidR="00140C5C" w:rsidRPr="00334B46" w:rsidRDefault="002E458E"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El comienzo de la existencia de la persona humana fue “el” tema más candente que generó el nuevo Código Civil y Comercial, aprobado por ley 26994 del 8 de octubre de 2014. </w:t>
      </w:r>
    </w:p>
    <w:p w:rsidR="00A74E52" w:rsidRPr="00334B46" w:rsidRDefault="002E458E"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lastRenderedPageBreak/>
        <w:t xml:space="preserve">Tan es así, que la redacción del artículo 19 varió en casi todas las etapas por las que atravesó el proyecto. Finalizada la primera etapa de redacción por parte de la comisión creada por decreto 191/2011 e integrada por el Dr. </w:t>
      </w:r>
      <w:proofErr w:type="spellStart"/>
      <w:r w:rsidRPr="00334B46">
        <w:rPr>
          <w:rFonts w:asciiTheme="majorHAnsi" w:hAnsiTheme="majorHAnsi" w:cstheme="majorHAnsi"/>
          <w:sz w:val="24"/>
          <w:szCs w:val="24"/>
          <w:lang w:val="es-AR"/>
        </w:rPr>
        <w:t>Lorenzetti</w:t>
      </w:r>
      <w:proofErr w:type="spellEnd"/>
      <w:r w:rsidRPr="00334B46">
        <w:rPr>
          <w:rFonts w:asciiTheme="majorHAnsi" w:hAnsiTheme="majorHAnsi" w:cstheme="majorHAnsi"/>
          <w:sz w:val="24"/>
          <w:szCs w:val="24"/>
          <w:lang w:val="es-AR"/>
        </w:rPr>
        <w:t xml:space="preserve">, y las doctoras </w:t>
      </w:r>
      <w:proofErr w:type="spellStart"/>
      <w:r w:rsidRPr="00334B46">
        <w:rPr>
          <w:rFonts w:asciiTheme="majorHAnsi" w:hAnsiTheme="majorHAnsi" w:cstheme="majorHAnsi"/>
          <w:sz w:val="24"/>
          <w:szCs w:val="24"/>
          <w:lang w:val="es-AR"/>
        </w:rPr>
        <w:t>Highton</w:t>
      </w:r>
      <w:proofErr w:type="spellEnd"/>
      <w:r w:rsidRPr="00334B46">
        <w:rPr>
          <w:rFonts w:asciiTheme="majorHAnsi" w:hAnsiTheme="majorHAnsi" w:cstheme="majorHAnsi"/>
          <w:sz w:val="24"/>
          <w:szCs w:val="24"/>
          <w:lang w:val="es-AR"/>
        </w:rPr>
        <w:t xml:space="preserve"> de Nolasco y </w:t>
      </w:r>
      <w:proofErr w:type="spellStart"/>
      <w:r w:rsidRPr="00334B46">
        <w:rPr>
          <w:rFonts w:asciiTheme="majorHAnsi" w:hAnsiTheme="majorHAnsi" w:cstheme="majorHAnsi"/>
          <w:sz w:val="24"/>
          <w:szCs w:val="24"/>
          <w:lang w:val="es-AR"/>
        </w:rPr>
        <w:t>Kemelmajer</w:t>
      </w:r>
      <w:proofErr w:type="spellEnd"/>
      <w:r w:rsidRPr="00334B46">
        <w:rPr>
          <w:rFonts w:asciiTheme="majorHAnsi" w:hAnsiTheme="majorHAnsi" w:cstheme="majorHAnsi"/>
          <w:sz w:val="24"/>
          <w:szCs w:val="24"/>
          <w:lang w:val="es-AR"/>
        </w:rPr>
        <w:t xml:space="preserve"> de </w:t>
      </w:r>
      <w:proofErr w:type="spellStart"/>
      <w:r w:rsidRPr="00334B46">
        <w:rPr>
          <w:rFonts w:asciiTheme="majorHAnsi" w:hAnsiTheme="majorHAnsi" w:cstheme="majorHAnsi"/>
          <w:sz w:val="24"/>
          <w:szCs w:val="24"/>
          <w:lang w:val="es-AR"/>
        </w:rPr>
        <w:t>Carlucci</w:t>
      </w:r>
      <w:proofErr w:type="spellEnd"/>
      <w:r w:rsidRPr="00334B46">
        <w:rPr>
          <w:rFonts w:asciiTheme="majorHAnsi" w:hAnsiTheme="majorHAnsi" w:cstheme="majorHAnsi"/>
          <w:sz w:val="24"/>
          <w:szCs w:val="24"/>
          <w:lang w:val="es-AR"/>
        </w:rPr>
        <w:t>, que concluyó con la entrega del proyecto a la presidenta en marzo de 2012, el artículo 19 establecía: “</w:t>
      </w:r>
      <w:r w:rsidRPr="00334B46">
        <w:rPr>
          <w:rFonts w:asciiTheme="majorHAnsi" w:hAnsiTheme="majorHAnsi" w:cstheme="majorHAnsi"/>
          <w:b/>
          <w:sz w:val="24"/>
          <w:szCs w:val="24"/>
          <w:lang w:val="es-AR"/>
        </w:rPr>
        <w:t>La existencia de la persona humana comienza con la concepción en el seno materno. En el caso de técnicas de reproducción humana asistida, comienza con la implantación del embrión en la mujer, sin perjuicio de lo que prevea la ley especial para la protección del embrión no implantado.</w:t>
      </w:r>
      <w:r w:rsidRPr="00334B46">
        <w:rPr>
          <w:rFonts w:asciiTheme="majorHAnsi" w:hAnsiTheme="majorHAnsi" w:cstheme="majorHAnsi"/>
          <w:sz w:val="24"/>
          <w:szCs w:val="24"/>
          <w:lang w:val="es-AR"/>
        </w:rPr>
        <w:t>”</w:t>
      </w:r>
    </w:p>
    <w:p w:rsidR="00916D43" w:rsidRPr="00334B46" w:rsidRDefault="002E458E"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Cabe destacar que entre las diferentes instancias, </w:t>
      </w:r>
      <w:r w:rsidRPr="00334B46">
        <w:rPr>
          <w:rFonts w:asciiTheme="majorHAnsi" w:hAnsiTheme="majorHAnsi" w:cstheme="majorHAnsi"/>
          <w:b/>
          <w:sz w:val="24"/>
          <w:szCs w:val="24"/>
          <w:lang w:val="es-AR"/>
        </w:rPr>
        <w:t xml:space="preserve">se sancionó la ley de identidad de género que significó el paso del paradigma medico psiquiátrico al de los derechos humanos, de modo que esta ley, la más liberal del </w:t>
      </w:r>
      <w:proofErr w:type="gramStart"/>
      <w:r w:rsidRPr="00334B46">
        <w:rPr>
          <w:rFonts w:asciiTheme="majorHAnsi" w:hAnsiTheme="majorHAnsi" w:cstheme="majorHAnsi"/>
          <w:b/>
          <w:sz w:val="24"/>
          <w:szCs w:val="24"/>
          <w:lang w:val="es-AR"/>
        </w:rPr>
        <w:t xml:space="preserve">globo </w:t>
      </w:r>
      <w:r w:rsidRPr="00334B46">
        <w:rPr>
          <w:rFonts w:asciiTheme="majorHAnsi" w:hAnsiTheme="majorHAnsi" w:cstheme="majorHAnsi"/>
          <w:sz w:val="24"/>
          <w:szCs w:val="24"/>
          <w:lang w:val="es-AR"/>
        </w:rPr>
        <w:t>,</w:t>
      </w:r>
      <w:proofErr w:type="gramEnd"/>
      <w:r w:rsidRPr="00334B46">
        <w:rPr>
          <w:rFonts w:asciiTheme="majorHAnsi" w:hAnsiTheme="majorHAnsi" w:cstheme="majorHAnsi"/>
          <w:sz w:val="24"/>
          <w:szCs w:val="24"/>
          <w:lang w:val="es-AR"/>
        </w:rPr>
        <w:t xml:space="preserve"> se funda en dos decisiones de política legislativa centrales:</w:t>
      </w:r>
    </w:p>
    <w:p w:rsidR="00916D43" w:rsidRPr="00334B46" w:rsidRDefault="002E458E"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 1) se permite el cambio de </w:t>
      </w:r>
      <w:r w:rsidR="00916D43" w:rsidRPr="00334B46">
        <w:rPr>
          <w:rFonts w:asciiTheme="majorHAnsi" w:hAnsiTheme="majorHAnsi" w:cstheme="majorHAnsi"/>
          <w:sz w:val="24"/>
          <w:szCs w:val="24"/>
          <w:lang w:val="es-AR"/>
        </w:rPr>
        <w:t>género</w:t>
      </w:r>
      <w:r w:rsidRPr="00334B46">
        <w:rPr>
          <w:rFonts w:asciiTheme="majorHAnsi" w:hAnsiTheme="majorHAnsi" w:cstheme="majorHAnsi"/>
          <w:sz w:val="24"/>
          <w:szCs w:val="24"/>
          <w:lang w:val="es-AR"/>
        </w:rPr>
        <w:t xml:space="preserve"> en el registro civil sin necesidad de acreditar ningún requisito, expresamente se manifiesta la no necesidad previa de reasignación corporal o física</w:t>
      </w:r>
      <w:r w:rsidR="00916D43" w:rsidRPr="00334B46">
        <w:rPr>
          <w:rFonts w:asciiTheme="majorHAnsi" w:hAnsiTheme="majorHAnsi" w:cstheme="majorHAnsi"/>
          <w:sz w:val="24"/>
          <w:szCs w:val="24"/>
          <w:lang w:val="es-AR"/>
        </w:rPr>
        <w:t xml:space="preserve"> alguna y</w:t>
      </w:r>
    </w:p>
    <w:p w:rsidR="00916D43" w:rsidRPr="00334B46" w:rsidRDefault="00916D43"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 2) la autoridad pública que interviene es administrativa (registro civil) y no judicial. </w:t>
      </w:r>
    </w:p>
    <w:p w:rsidR="00A74E52" w:rsidRPr="00334B46" w:rsidRDefault="00916D43"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b/>
          <w:sz w:val="24"/>
          <w:szCs w:val="24"/>
          <w:lang w:val="es-AR"/>
        </w:rPr>
        <w:t xml:space="preserve">La petición de cambio de identidad de género se sustenta en la mera voluntad de la persona, es decir, en la noción de “identidad </w:t>
      </w:r>
      <w:proofErr w:type="spellStart"/>
      <w:r w:rsidRPr="00334B46">
        <w:rPr>
          <w:rFonts w:asciiTheme="majorHAnsi" w:hAnsiTheme="majorHAnsi" w:cstheme="majorHAnsi"/>
          <w:b/>
          <w:sz w:val="24"/>
          <w:szCs w:val="24"/>
          <w:lang w:val="es-AR"/>
        </w:rPr>
        <w:t>autopercibida</w:t>
      </w:r>
      <w:proofErr w:type="spellEnd"/>
      <w:r w:rsidRPr="00334B46">
        <w:rPr>
          <w:rFonts w:asciiTheme="majorHAnsi" w:hAnsiTheme="majorHAnsi" w:cstheme="majorHAnsi"/>
          <w:b/>
          <w:sz w:val="24"/>
          <w:szCs w:val="24"/>
          <w:lang w:val="es-AR"/>
        </w:rPr>
        <w:t>”</w:t>
      </w:r>
      <w:r w:rsidRPr="00334B46">
        <w:rPr>
          <w:rFonts w:asciiTheme="majorHAnsi" w:hAnsiTheme="majorHAnsi" w:cstheme="majorHAnsi"/>
          <w:sz w:val="24"/>
          <w:szCs w:val="24"/>
          <w:lang w:val="es-AR"/>
        </w:rPr>
        <w:t xml:space="preserve">. </w:t>
      </w:r>
    </w:p>
    <w:p w:rsidR="00B42E1C" w:rsidRPr="00334B46" w:rsidRDefault="00D11D35"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La “sistema” del derecho argentino. </w:t>
      </w:r>
    </w:p>
    <w:p w:rsidR="002D53DC" w:rsidRPr="00334B46" w:rsidRDefault="00D11D35"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Sin perjuicio de lo resuelto en el caso Artavia, que zanja la cuestión, existen otros argumentos de peso jurídico que confirman la no personalidad del embrión in vitro. El art. 19 es parte de un Código por lo que corresponde efectuar una interpretación sistémica. </w:t>
      </w:r>
    </w:p>
    <w:p w:rsidR="002D53DC" w:rsidRPr="00334B46" w:rsidRDefault="00D11D35"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Es que el art. 20, el siguiente, dice que por concepción se entiende el lapso entre el mínimo y máximo del embarazo, y esto sucede cuando el embrión está dentro de una persona y se implanta, sólo allí puede haber embarazo. </w:t>
      </w:r>
    </w:p>
    <w:p w:rsidR="002D53DC" w:rsidRPr="00334B46" w:rsidRDefault="00D11D35"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A su vez, el art. 21 dice que todos los derechos y obligaciones del concebido o implantado en la persona quedan irrevocablemente adquiridos cuando la persona nace con vida, aludiéndose expresamente a la implantación.</w:t>
      </w:r>
    </w:p>
    <w:p w:rsidR="002D53DC" w:rsidRPr="00334B46" w:rsidRDefault="00D11D35"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 A esto se suma el art. 561 que sostiene que “El consentimiento es libremente revocable mientras no se haya producido la concepción en la persona o la implantación del embrión”, </w:t>
      </w:r>
      <w:r w:rsidRPr="00334B46">
        <w:rPr>
          <w:rFonts w:asciiTheme="majorHAnsi" w:hAnsiTheme="majorHAnsi" w:cstheme="majorHAnsi"/>
          <w:sz w:val="24"/>
          <w:szCs w:val="24"/>
          <w:lang w:val="es-AR"/>
        </w:rPr>
        <w:lastRenderedPageBreak/>
        <w:t xml:space="preserve">de lo que se desprende sin dudas que el embrión no es persona, porque de serlo, la revocación del consentimiento se permitiría hasta la fecundación, y no hasta el implante. </w:t>
      </w:r>
    </w:p>
    <w:p w:rsidR="002D53DC" w:rsidRPr="00334B46" w:rsidRDefault="00D11D35"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Sin perjuicio de lo dicho, y lo que es más elocuente aún, es que la disposición transitoria segunda dice que la protección del embrión no implantado se reserva para una ley especial, por lo tanto, se deriva que el embrión no implantado no es persona, de lo contrario, estaría regulado en el propio texto del Código Civil y no en una ley distinta y separada de éste. </w:t>
      </w:r>
    </w:p>
    <w:p w:rsidR="00A74E52" w:rsidRPr="00334B46" w:rsidRDefault="00D11D35"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Por </w:t>
      </w:r>
      <w:r w:rsidR="002D53DC" w:rsidRPr="00334B46">
        <w:rPr>
          <w:rFonts w:asciiTheme="majorHAnsi" w:hAnsiTheme="majorHAnsi" w:cstheme="majorHAnsi"/>
          <w:sz w:val="24"/>
          <w:szCs w:val="24"/>
          <w:lang w:val="es-AR"/>
        </w:rPr>
        <w:t>último</w:t>
      </w:r>
      <w:r w:rsidRPr="00334B46">
        <w:rPr>
          <w:rFonts w:asciiTheme="majorHAnsi" w:hAnsiTheme="majorHAnsi" w:cstheme="majorHAnsi"/>
          <w:sz w:val="24"/>
          <w:szCs w:val="24"/>
          <w:lang w:val="es-AR"/>
        </w:rPr>
        <w:t xml:space="preserve">, el nuevo Código regula la filiación derivada, con lo que difícilmente para el CCYC el embrión puede considerarse persona. Esto se condice con lo dispuesto por la ley 26862, vigente en nuestro país, que permite la </w:t>
      </w:r>
      <w:proofErr w:type="spellStart"/>
      <w:r w:rsidRPr="00334B46">
        <w:rPr>
          <w:rFonts w:asciiTheme="majorHAnsi" w:hAnsiTheme="majorHAnsi" w:cstheme="majorHAnsi"/>
          <w:sz w:val="24"/>
          <w:szCs w:val="24"/>
          <w:lang w:val="es-AR"/>
        </w:rPr>
        <w:t>crioconservación</w:t>
      </w:r>
      <w:proofErr w:type="spellEnd"/>
      <w:r w:rsidRPr="00334B46">
        <w:rPr>
          <w:rFonts w:asciiTheme="majorHAnsi" w:hAnsiTheme="majorHAnsi" w:cstheme="majorHAnsi"/>
          <w:sz w:val="24"/>
          <w:szCs w:val="24"/>
          <w:lang w:val="es-AR"/>
        </w:rPr>
        <w:t xml:space="preserve"> de embriones, la donación de embriones y la revocación del consentimiento hasta el momento del implante. </w:t>
      </w:r>
      <w:r w:rsidRPr="00334B46">
        <w:rPr>
          <w:rFonts w:asciiTheme="majorHAnsi" w:hAnsiTheme="majorHAnsi" w:cstheme="majorHAnsi"/>
          <w:sz w:val="24"/>
          <w:szCs w:val="24"/>
          <w:u w:val="single"/>
          <w:lang w:val="es-AR"/>
        </w:rPr>
        <w:t>Precisamente, si esta ley considerara persona al embrión no permitiría ninguno de estos supuestos. Todo esto genera un sistema cuya conclusión no puede ser otra que la no personalidad del embrión in vitro</w:t>
      </w:r>
      <w:r w:rsidRPr="00334B46">
        <w:rPr>
          <w:rFonts w:asciiTheme="majorHAnsi" w:hAnsiTheme="majorHAnsi" w:cstheme="majorHAnsi"/>
          <w:sz w:val="24"/>
          <w:szCs w:val="24"/>
          <w:lang w:val="es-AR"/>
        </w:rPr>
        <w:t xml:space="preserve">. </w:t>
      </w:r>
    </w:p>
    <w:p w:rsidR="00A74E52" w:rsidRPr="00334B46" w:rsidRDefault="00D11D35"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Y este arco se cierra con el resonado fallo “Artavia Murillo y otros contra Costa Rica” del 28/11/2012 de la Corte Interamericana de Derechos Humanos. </w:t>
      </w:r>
    </w:p>
    <w:p w:rsidR="00617A4B" w:rsidRPr="00334B46" w:rsidRDefault="002D53DC"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Metodológicamente, esa protección debe estar regulada en la ley especial, tal como sucede en numerosas leyes del derecho comparado que, incluso por mandato legislativo, deben ser revisadas periódicamente. </w:t>
      </w:r>
      <w:proofErr w:type="spellStart"/>
      <w:r w:rsidRPr="00334B46">
        <w:rPr>
          <w:rFonts w:asciiTheme="majorHAnsi" w:hAnsiTheme="majorHAnsi" w:cstheme="majorHAnsi"/>
          <w:sz w:val="24"/>
          <w:szCs w:val="24"/>
          <w:lang w:val="es-AR"/>
        </w:rPr>
        <w:t>Labrousse</w:t>
      </w:r>
      <w:proofErr w:type="spellEnd"/>
      <w:r w:rsidRPr="00334B46">
        <w:rPr>
          <w:rFonts w:asciiTheme="majorHAnsi" w:hAnsiTheme="majorHAnsi" w:cstheme="majorHAnsi"/>
          <w:sz w:val="24"/>
          <w:szCs w:val="24"/>
          <w:lang w:val="es-AR"/>
        </w:rPr>
        <w:t xml:space="preserve"> </w:t>
      </w:r>
      <w:proofErr w:type="spellStart"/>
      <w:r w:rsidRPr="00334B46">
        <w:rPr>
          <w:rFonts w:asciiTheme="majorHAnsi" w:hAnsiTheme="majorHAnsi" w:cstheme="majorHAnsi"/>
          <w:sz w:val="24"/>
          <w:szCs w:val="24"/>
          <w:lang w:val="es-AR"/>
        </w:rPr>
        <w:t>Riou</w:t>
      </w:r>
      <w:proofErr w:type="spellEnd"/>
      <w:r w:rsidRPr="00334B46">
        <w:rPr>
          <w:rFonts w:asciiTheme="majorHAnsi" w:hAnsiTheme="majorHAnsi" w:cstheme="majorHAnsi"/>
          <w:sz w:val="24"/>
          <w:szCs w:val="24"/>
          <w:lang w:val="es-AR"/>
        </w:rPr>
        <w:t xml:space="preserve"> señala que el embrión humano es una nueva realidad para la ley que debe juzgarla, no por lo que representa ontológicamente sino por lo que es lícito o ilícito hacer con esta realidad. </w:t>
      </w:r>
    </w:p>
    <w:p w:rsidR="00B146B8" w:rsidRPr="00334B46" w:rsidRDefault="00617A4B"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Q</w:t>
      </w:r>
      <w:r w:rsidR="002D53DC" w:rsidRPr="00334B46">
        <w:rPr>
          <w:rFonts w:asciiTheme="majorHAnsi" w:hAnsiTheme="majorHAnsi" w:cstheme="majorHAnsi"/>
          <w:sz w:val="24"/>
          <w:szCs w:val="24"/>
          <w:lang w:val="es-AR"/>
        </w:rPr>
        <w:t xml:space="preserve">ué es lícito o ilícito hacer con esta realidad, </w:t>
      </w:r>
      <w:r w:rsidRPr="00334B46">
        <w:rPr>
          <w:rFonts w:asciiTheme="majorHAnsi" w:hAnsiTheme="majorHAnsi" w:cstheme="majorHAnsi"/>
          <w:sz w:val="24"/>
          <w:szCs w:val="24"/>
          <w:lang w:val="es-AR"/>
        </w:rPr>
        <w:t xml:space="preserve">lo que </w:t>
      </w:r>
      <w:r w:rsidR="002D53DC" w:rsidRPr="00334B46">
        <w:rPr>
          <w:rFonts w:asciiTheme="majorHAnsi" w:hAnsiTheme="majorHAnsi" w:cstheme="majorHAnsi"/>
          <w:sz w:val="24"/>
          <w:szCs w:val="24"/>
          <w:lang w:val="es-AR"/>
        </w:rPr>
        <w:t xml:space="preserve">justifica la existencia de normas que limiten el uso y la destrucción de embriones en investigaciones que importen una promesa razonable de curar o aliviar una grave enfermedad o el sufrimiento humano, así como los procedimientos para asegurar que se respeten estos lineamientos. </w:t>
      </w:r>
    </w:p>
    <w:p w:rsidR="00617A4B" w:rsidRPr="00334B46" w:rsidRDefault="002D53DC"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Por lo tanto, si se tomó —como en el art. 19 - la decisión de política pública que importa reconocer que l</w:t>
      </w:r>
      <w:r w:rsidR="00B146B8" w:rsidRPr="00334B46">
        <w:rPr>
          <w:rFonts w:asciiTheme="majorHAnsi" w:hAnsiTheme="majorHAnsi" w:cstheme="majorHAnsi"/>
          <w:sz w:val="24"/>
          <w:szCs w:val="24"/>
          <w:lang w:val="es-AR"/>
        </w:rPr>
        <w:t xml:space="preserve">os embriones humanos tienen un </w:t>
      </w:r>
      <w:r w:rsidRPr="00334B46">
        <w:rPr>
          <w:rFonts w:asciiTheme="majorHAnsi" w:hAnsiTheme="majorHAnsi" w:cstheme="majorHAnsi"/>
          <w:sz w:val="24"/>
          <w:szCs w:val="24"/>
          <w:lang w:val="es-AR"/>
        </w:rPr>
        <w:t xml:space="preserve">status moral intermedio y, por ende, exigen un respeto especial, se debe aprobar una regulación apropiada. En esta regulación, esta protección debería concretarse, entre otras cosas, no sólo en la prohibición de crear embriones humanos </w:t>
      </w:r>
      <w:proofErr w:type="spellStart"/>
      <w:r w:rsidRPr="00334B46">
        <w:rPr>
          <w:rFonts w:asciiTheme="majorHAnsi" w:hAnsiTheme="majorHAnsi" w:cstheme="majorHAnsi"/>
          <w:sz w:val="24"/>
          <w:szCs w:val="24"/>
          <w:lang w:val="es-AR"/>
        </w:rPr>
        <w:t>gaméticos</w:t>
      </w:r>
      <w:proofErr w:type="spellEnd"/>
      <w:r w:rsidRPr="00334B46">
        <w:rPr>
          <w:rFonts w:asciiTheme="majorHAnsi" w:hAnsiTheme="majorHAnsi" w:cstheme="majorHAnsi"/>
          <w:sz w:val="24"/>
          <w:szCs w:val="24"/>
          <w:lang w:val="es-AR"/>
        </w:rPr>
        <w:t xml:space="preserve"> con otro fin que no sea el de la reproducción humana o el de investigación, o la prohibición de crear embriones somáticos con fines reproductivos - distinto es el caso de los embriones somáticos creados por transferencia nuclear mediante clonación terapéutica que </w:t>
      </w:r>
      <w:r w:rsidR="00617A4B" w:rsidRPr="00334B46">
        <w:rPr>
          <w:rFonts w:asciiTheme="majorHAnsi" w:hAnsiTheme="majorHAnsi" w:cstheme="majorHAnsi"/>
          <w:sz w:val="24"/>
          <w:szCs w:val="24"/>
          <w:lang w:val="es-AR"/>
        </w:rPr>
        <w:t>sí deberían permitirse</w:t>
      </w:r>
      <w:r w:rsidRPr="00334B46">
        <w:rPr>
          <w:rFonts w:asciiTheme="majorHAnsi" w:hAnsiTheme="majorHAnsi" w:cstheme="majorHAnsi"/>
          <w:sz w:val="24"/>
          <w:szCs w:val="24"/>
          <w:lang w:val="es-AR"/>
        </w:rPr>
        <w:t xml:space="preserve"> sino también en la regulación taxativa de los destinos de los embriones sobrantes </w:t>
      </w:r>
      <w:proofErr w:type="spellStart"/>
      <w:r w:rsidRPr="00334B46">
        <w:rPr>
          <w:rFonts w:asciiTheme="majorHAnsi" w:hAnsiTheme="majorHAnsi" w:cstheme="majorHAnsi"/>
          <w:sz w:val="24"/>
          <w:szCs w:val="24"/>
          <w:lang w:val="es-AR"/>
        </w:rPr>
        <w:t>crioconservados</w:t>
      </w:r>
      <w:proofErr w:type="spellEnd"/>
      <w:r w:rsidRPr="00334B46">
        <w:rPr>
          <w:rFonts w:asciiTheme="majorHAnsi" w:hAnsiTheme="majorHAnsi" w:cstheme="majorHAnsi"/>
          <w:sz w:val="24"/>
          <w:szCs w:val="24"/>
          <w:lang w:val="es-AR"/>
        </w:rPr>
        <w:t xml:space="preserve"> que – al día de hoy, </w:t>
      </w:r>
      <w:proofErr w:type="spellStart"/>
      <w:r w:rsidRPr="00334B46">
        <w:rPr>
          <w:rFonts w:asciiTheme="majorHAnsi" w:hAnsiTheme="majorHAnsi" w:cstheme="majorHAnsi"/>
          <w:sz w:val="24"/>
          <w:szCs w:val="24"/>
          <w:lang w:val="es-AR"/>
        </w:rPr>
        <w:t>segun</w:t>
      </w:r>
      <w:proofErr w:type="spellEnd"/>
      <w:r w:rsidRPr="00334B46">
        <w:rPr>
          <w:rFonts w:asciiTheme="majorHAnsi" w:hAnsiTheme="majorHAnsi" w:cstheme="majorHAnsi"/>
          <w:sz w:val="24"/>
          <w:szCs w:val="24"/>
          <w:lang w:val="es-AR"/>
        </w:rPr>
        <w:t xml:space="preserve"> el estado </w:t>
      </w:r>
      <w:r w:rsidRPr="00334B46">
        <w:rPr>
          <w:rFonts w:asciiTheme="majorHAnsi" w:hAnsiTheme="majorHAnsi" w:cstheme="majorHAnsi"/>
          <w:sz w:val="24"/>
          <w:szCs w:val="24"/>
          <w:lang w:val="es-AR"/>
        </w:rPr>
        <w:lastRenderedPageBreak/>
        <w:t>actual de la ciencia - no pueden ser otros que su utilización por los titulares, la donación con fines reproductivos, la donación con fines de investigación, o el cese de su conservación sin otra utilización.</w:t>
      </w:r>
    </w:p>
    <w:p w:rsidR="00617A4B" w:rsidRPr="00334B46" w:rsidRDefault="002D53DC"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Quedando descartada siempre la comercialización de embriones. </w:t>
      </w:r>
    </w:p>
    <w:p w:rsidR="00617A4B" w:rsidRPr="00334B46" w:rsidRDefault="00617A4B" w:rsidP="00334B46">
      <w:pPr>
        <w:spacing w:line="276" w:lineRule="auto"/>
        <w:jc w:val="both"/>
        <w:rPr>
          <w:rFonts w:asciiTheme="majorHAnsi" w:hAnsiTheme="majorHAnsi" w:cstheme="majorHAnsi"/>
          <w:b/>
          <w:sz w:val="24"/>
          <w:szCs w:val="24"/>
          <w:lang w:val="es-AR"/>
        </w:rPr>
      </w:pPr>
      <w:r w:rsidRPr="00334B46">
        <w:rPr>
          <w:rFonts w:asciiTheme="majorHAnsi" w:hAnsiTheme="majorHAnsi" w:cstheme="majorHAnsi"/>
          <w:b/>
          <w:sz w:val="24"/>
          <w:szCs w:val="24"/>
          <w:lang w:val="es-AR"/>
        </w:rPr>
        <w:t xml:space="preserve">ENTONCES, ESTO IMPLICA QUE EL USO Y LA DESTRUCCIÓN DE ELLOS EN INVESTIGACIONES MÉDICAS </w:t>
      </w:r>
      <w:r w:rsidR="00B146B8" w:rsidRPr="00334B46">
        <w:rPr>
          <w:rFonts w:asciiTheme="majorHAnsi" w:hAnsiTheme="majorHAnsi" w:cstheme="majorHAnsi"/>
          <w:b/>
          <w:sz w:val="24"/>
          <w:szCs w:val="24"/>
          <w:lang w:val="es-AR"/>
        </w:rPr>
        <w:t xml:space="preserve">que </w:t>
      </w:r>
      <w:r w:rsidRPr="00334B46">
        <w:rPr>
          <w:rFonts w:asciiTheme="majorHAnsi" w:hAnsiTheme="majorHAnsi" w:cstheme="majorHAnsi"/>
          <w:b/>
          <w:sz w:val="24"/>
          <w:szCs w:val="24"/>
          <w:lang w:val="es-AR"/>
        </w:rPr>
        <w:t>IMPORTEN UNA PROMESA RAZONABLE DE TRATAR O PREVENIR ENFERMEDADES HUMANAS GRAVES O SUFRIMIENTO</w:t>
      </w:r>
      <w:r w:rsidR="00B146B8" w:rsidRPr="00334B46">
        <w:rPr>
          <w:rFonts w:asciiTheme="majorHAnsi" w:hAnsiTheme="majorHAnsi" w:cstheme="majorHAnsi"/>
          <w:b/>
          <w:sz w:val="24"/>
          <w:szCs w:val="24"/>
          <w:lang w:val="es-AR"/>
        </w:rPr>
        <w:t xml:space="preserve">, está fuera de la </w:t>
      </w:r>
      <w:proofErr w:type="gramStart"/>
      <w:r w:rsidR="00B146B8" w:rsidRPr="00334B46">
        <w:rPr>
          <w:rFonts w:asciiTheme="majorHAnsi" w:hAnsiTheme="majorHAnsi" w:cstheme="majorHAnsi"/>
          <w:b/>
          <w:sz w:val="24"/>
          <w:szCs w:val="24"/>
          <w:lang w:val="es-AR"/>
        </w:rPr>
        <w:t xml:space="preserve">ley </w:t>
      </w:r>
      <w:r w:rsidRPr="00334B46">
        <w:rPr>
          <w:rFonts w:asciiTheme="majorHAnsi" w:hAnsiTheme="majorHAnsi" w:cstheme="majorHAnsi"/>
          <w:b/>
          <w:sz w:val="24"/>
          <w:szCs w:val="24"/>
          <w:lang w:val="es-AR"/>
        </w:rPr>
        <w:t>??</w:t>
      </w:r>
      <w:proofErr w:type="gramEnd"/>
    </w:p>
    <w:p w:rsidR="00617A4B" w:rsidRPr="00334B46" w:rsidRDefault="00617A4B" w:rsidP="00334B46">
      <w:pPr>
        <w:spacing w:line="276" w:lineRule="auto"/>
        <w:jc w:val="both"/>
        <w:rPr>
          <w:rFonts w:asciiTheme="majorHAnsi" w:hAnsiTheme="majorHAnsi" w:cstheme="majorHAnsi"/>
          <w:b/>
          <w:sz w:val="24"/>
          <w:szCs w:val="24"/>
          <w:lang w:val="es-AR"/>
        </w:rPr>
      </w:pPr>
      <w:proofErr w:type="gramStart"/>
      <w:r w:rsidRPr="00334B46">
        <w:rPr>
          <w:rFonts w:asciiTheme="majorHAnsi" w:hAnsiTheme="majorHAnsi" w:cstheme="majorHAnsi"/>
          <w:b/>
          <w:sz w:val="24"/>
          <w:szCs w:val="24"/>
          <w:lang w:val="es-AR"/>
        </w:rPr>
        <w:t>LA INVESTIGACIÓN CON CÉLULAS MADRE DE EMBRIONES HUMANOS PUEDE CONTRIBUIR A LA PRÓXIMA GENERACIÓN DE ASISTENCIA SANITARIA AL OFRECER TRATAMIENTOS O REMEDIOS POSIBLES PARA ENFERMEDADES INTRATABLES O POTENCIALMENTE MORTALES, TALES COMO LA ENFERMEDAD DE PARKINSON, LA DIABETES, LA APOPLEJÍA</w:t>
      </w:r>
      <w:r w:rsidR="00B146B8" w:rsidRPr="00334B46">
        <w:rPr>
          <w:rFonts w:asciiTheme="majorHAnsi" w:hAnsiTheme="majorHAnsi" w:cstheme="majorHAnsi"/>
          <w:b/>
          <w:sz w:val="24"/>
          <w:szCs w:val="24"/>
          <w:lang w:val="es-AR"/>
        </w:rPr>
        <w:t xml:space="preserve">, LAS CARDIOPATÍAS Y LA CEGUERA, </w:t>
      </w:r>
      <w:proofErr w:type="spellStart"/>
      <w:r w:rsidR="00B146B8" w:rsidRPr="00334B46">
        <w:rPr>
          <w:rFonts w:asciiTheme="majorHAnsi" w:hAnsiTheme="majorHAnsi" w:cstheme="majorHAnsi"/>
          <w:b/>
          <w:sz w:val="24"/>
          <w:szCs w:val="24"/>
          <w:lang w:val="es-AR"/>
        </w:rPr>
        <w:t>esta</w:t>
      </w:r>
      <w:proofErr w:type="spellEnd"/>
      <w:r w:rsidR="00B146B8" w:rsidRPr="00334B46">
        <w:rPr>
          <w:rFonts w:asciiTheme="majorHAnsi" w:hAnsiTheme="majorHAnsi" w:cstheme="majorHAnsi"/>
          <w:b/>
          <w:sz w:val="24"/>
          <w:szCs w:val="24"/>
          <w:lang w:val="es-AR"/>
        </w:rPr>
        <w:t xml:space="preserve"> fuera de la ley</w:t>
      </w:r>
      <w:r w:rsidRPr="00334B46">
        <w:rPr>
          <w:rFonts w:asciiTheme="majorHAnsi" w:hAnsiTheme="majorHAnsi" w:cstheme="majorHAnsi"/>
          <w:b/>
          <w:sz w:val="24"/>
          <w:szCs w:val="24"/>
          <w:lang w:val="es-AR"/>
        </w:rPr>
        <w:t>?</w:t>
      </w:r>
      <w:proofErr w:type="gramEnd"/>
    </w:p>
    <w:p w:rsidR="00617A4B" w:rsidRPr="00334B46" w:rsidRDefault="002D53DC"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 Las células madre de embriones son únicas porque pueden dar origen a cualquiera de las células del organismo y los científicos utilizan esta característica para formar nuevas</w:t>
      </w:r>
      <w:r w:rsidR="00B146B8" w:rsidRPr="00334B46">
        <w:rPr>
          <w:rFonts w:asciiTheme="majorHAnsi" w:hAnsiTheme="majorHAnsi" w:cstheme="majorHAnsi"/>
          <w:sz w:val="24"/>
          <w:szCs w:val="24"/>
          <w:lang w:val="es-AR"/>
        </w:rPr>
        <w:t xml:space="preserve"> </w:t>
      </w:r>
      <w:r w:rsidRPr="00334B46">
        <w:rPr>
          <w:rFonts w:asciiTheme="majorHAnsi" w:hAnsiTheme="majorHAnsi" w:cstheme="majorHAnsi"/>
          <w:sz w:val="24"/>
          <w:szCs w:val="24"/>
          <w:lang w:val="es-AR"/>
        </w:rPr>
        <w:t xml:space="preserve">células que pueden trasplantarse a pacientes para sustituir tejidos enfermos o lesionados. </w:t>
      </w:r>
    </w:p>
    <w:p w:rsidR="00617A4B" w:rsidRPr="00334B46" w:rsidRDefault="002D53DC"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Por otra parte, los estudios con células madre de embriones permiten a los biólogos</w:t>
      </w:r>
      <w:r w:rsidR="00B146B8" w:rsidRPr="00334B46">
        <w:rPr>
          <w:rFonts w:asciiTheme="majorHAnsi" w:hAnsiTheme="majorHAnsi" w:cstheme="majorHAnsi"/>
          <w:sz w:val="24"/>
          <w:szCs w:val="24"/>
          <w:lang w:val="es-AR"/>
        </w:rPr>
        <w:t xml:space="preserve"> </w:t>
      </w:r>
      <w:r w:rsidRPr="00334B46">
        <w:rPr>
          <w:rFonts w:asciiTheme="majorHAnsi" w:hAnsiTheme="majorHAnsi" w:cstheme="majorHAnsi"/>
          <w:sz w:val="24"/>
          <w:szCs w:val="24"/>
          <w:lang w:val="es-AR"/>
        </w:rPr>
        <w:t xml:space="preserve">comprender cómo se desarrollan y mantienen nuestros tejidos, y las células madre también se utilizan para el ensayo de nuevos medicamentos, a fin de reducir su riesgo de toxicidad y hacer avanzar la investigación farmacéutica. </w:t>
      </w:r>
    </w:p>
    <w:p w:rsidR="00617A4B" w:rsidRPr="00334B46" w:rsidRDefault="002D53DC"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Por su parte, las células madre de adultos o </w:t>
      </w:r>
      <w:proofErr w:type="spellStart"/>
      <w:r w:rsidRPr="00334B46">
        <w:rPr>
          <w:rFonts w:asciiTheme="majorHAnsi" w:hAnsiTheme="majorHAnsi" w:cstheme="majorHAnsi"/>
          <w:sz w:val="24"/>
          <w:szCs w:val="24"/>
          <w:lang w:val="es-AR"/>
        </w:rPr>
        <w:t>histoespecíficas</w:t>
      </w:r>
      <w:proofErr w:type="spellEnd"/>
      <w:r w:rsidRPr="00334B46">
        <w:rPr>
          <w:rFonts w:asciiTheme="majorHAnsi" w:hAnsiTheme="majorHAnsi" w:cstheme="majorHAnsi"/>
          <w:sz w:val="24"/>
          <w:szCs w:val="24"/>
          <w:lang w:val="es-AR"/>
        </w:rPr>
        <w:t xml:space="preserve"> se encuentran en ciertos tejidos del organismo y son válidas para determinados tratamientos, pero no en todos los casos. Las células madre </w:t>
      </w:r>
      <w:proofErr w:type="spellStart"/>
      <w:r w:rsidRPr="00334B46">
        <w:rPr>
          <w:rFonts w:asciiTheme="majorHAnsi" w:hAnsiTheme="majorHAnsi" w:cstheme="majorHAnsi"/>
          <w:sz w:val="24"/>
          <w:szCs w:val="24"/>
          <w:lang w:val="es-AR"/>
        </w:rPr>
        <w:t>pluripotentes</w:t>
      </w:r>
      <w:proofErr w:type="spellEnd"/>
      <w:r w:rsidRPr="00334B46">
        <w:rPr>
          <w:rFonts w:asciiTheme="majorHAnsi" w:hAnsiTheme="majorHAnsi" w:cstheme="majorHAnsi"/>
          <w:sz w:val="24"/>
          <w:szCs w:val="24"/>
          <w:lang w:val="es-AR"/>
        </w:rPr>
        <w:t xml:space="preserve"> inducidas (IPSC, de su nombre en inglés) son células especializadas de adultos que se han reprogramado genéticamente y que si bien tienen muchas propiedades similares a las de las células madre de embriones y la investigación al respecto sigue avanzando; aún no es posible producir estas células de forma útil en clínica ni tratarlas como células naturales.</w:t>
      </w:r>
    </w:p>
    <w:p w:rsidR="001C48C3" w:rsidRPr="00334B46" w:rsidRDefault="002D53DC"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 A partir de la sanción de la presente ley, se prohíbe:</w:t>
      </w:r>
    </w:p>
    <w:p w:rsidR="001C48C3" w:rsidRPr="00334B46" w:rsidRDefault="002D53DC"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 a) La comercialización de embriones;</w:t>
      </w:r>
    </w:p>
    <w:p w:rsidR="001C48C3" w:rsidRPr="00334B46" w:rsidRDefault="002D53DC"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 b) La comercialización de gametos </w:t>
      </w:r>
      <w:proofErr w:type="spellStart"/>
      <w:r w:rsidRPr="00334B46">
        <w:rPr>
          <w:rFonts w:asciiTheme="majorHAnsi" w:hAnsiTheme="majorHAnsi" w:cstheme="majorHAnsi"/>
          <w:sz w:val="24"/>
          <w:szCs w:val="24"/>
          <w:lang w:val="es-AR"/>
        </w:rPr>
        <w:t>crioconservados</w:t>
      </w:r>
      <w:proofErr w:type="spellEnd"/>
      <w:r w:rsidRPr="00334B46">
        <w:rPr>
          <w:rFonts w:asciiTheme="majorHAnsi" w:hAnsiTheme="majorHAnsi" w:cstheme="majorHAnsi"/>
          <w:sz w:val="24"/>
          <w:szCs w:val="24"/>
          <w:lang w:val="es-AR"/>
        </w:rPr>
        <w:t xml:space="preserve">; </w:t>
      </w:r>
    </w:p>
    <w:p w:rsidR="001C48C3" w:rsidRPr="00334B46" w:rsidRDefault="002D53DC"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c) Toda práctica destinada a producir una alteración genética del embrión que se transmita a su descendencia; </w:t>
      </w:r>
    </w:p>
    <w:p w:rsidR="001C48C3" w:rsidRPr="00334B46" w:rsidRDefault="002D53DC"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lastRenderedPageBreak/>
        <w:t xml:space="preserve">d) La utilización de embriones viables para experimentación o investigación que no respeten los parámetros fijados por la autoridad de aplicación.” </w:t>
      </w:r>
    </w:p>
    <w:p w:rsidR="0008425E" w:rsidRPr="00334B46" w:rsidRDefault="002D53DC"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 La aplicabilidad del artículo 17 del CCYC</w:t>
      </w:r>
      <w:r w:rsidR="001C48C3" w:rsidRPr="00334B46">
        <w:rPr>
          <w:rFonts w:asciiTheme="majorHAnsi" w:hAnsiTheme="majorHAnsi" w:cstheme="majorHAnsi"/>
          <w:sz w:val="24"/>
          <w:szCs w:val="24"/>
          <w:lang w:val="es-AR"/>
        </w:rPr>
        <w:t xml:space="preserve"> </w:t>
      </w:r>
      <w:r w:rsidRPr="00334B46">
        <w:rPr>
          <w:rFonts w:asciiTheme="majorHAnsi" w:hAnsiTheme="majorHAnsi" w:cstheme="majorHAnsi"/>
          <w:sz w:val="24"/>
          <w:szCs w:val="24"/>
          <w:lang w:val="es-AR"/>
        </w:rPr>
        <w:t xml:space="preserve">al embrión in vitro El </w:t>
      </w:r>
      <w:r w:rsidR="0008425E" w:rsidRPr="00334B46">
        <w:rPr>
          <w:rFonts w:asciiTheme="majorHAnsi" w:hAnsiTheme="majorHAnsi" w:cstheme="majorHAnsi"/>
          <w:sz w:val="24"/>
          <w:szCs w:val="24"/>
          <w:lang w:val="es-AR"/>
        </w:rPr>
        <w:t>embrión, es</w:t>
      </w:r>
      <w:r w:rsidRPr="00334B46">
        <w:rPr>
          <w:rFonts w:asciiTheme="majorHAnsi" w:hAnsiTheme="majorHAnsi" w:cstheme="majorHAnsi"/>
          <w:sz w:val="24"/>
          <w:szCs w:val="24"/>
          <w:lang w:val="es-AR"/>
        </w:rPr>
        <w:t xml:space="preserve"> una parte separada del cuerpo, que como los gametos, las células, los genes, los órganos, etc. está fuera del comercio conforme el art. 17 del CCYC. </w:t>
      </w:r>
    </w:p>
    <w:p w:rsidR="0008425E" w:rsidRPr="00334B46" w:rsidRDefault="002D53DC"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El articulo 17 adopta la postura que extiende el reconocimiento de la dignidad atribuida al cuerpo como soporte de la persona a las partes del mismo, asegurando un trato diferenciado respecto de estas. Este trato diferenciado se asienta primordialmente en la prevalencia del principio de no comercialidad. Tomar una parte separada del cuerpo vivo como una cosa importa autorizar a que entre en el tráfico mercantil desvirtuando la consideración y el respeto por la dignidad humana, respeto que necesariamente debe transmitirse a las partes separadas del cuerpo.</w:t>
      </w:r>
    </w:p>
    <w:p w:rsidR="00AC092D" w:rsidRPr="00334B46" w:rsidRDefault="002D53DC"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Como sostiene </w:t>
      </w:r>
      <w:proofErr w:type="spellStart"/>
      <w:r w:rsidRPr="00334B46">
        <w:rPr>
          <w:rFonts w:asciiTheme="majorHAnsi" w:hAnsiTheme="majorHAnsi" w:cstheme="majorHAnsi"/>
          <w:sz w:val="24"/>
          <w:szCs w:val="24"/>
          <w:lang w:val="es-AR"/>
        </w:rPr>
        <w:t>Bergel</w:t>
      </w:r>
      <w:proofErr w:type="spellEnd"/>
      <w:r w:rsidRPr="00334B46">
        <w:rPr>
          <w:rFonts w:asciiTheme="majorHAnsi" w:hAnsiTheme="majorHAnsi" w:cstheme="majorHAnsi"/>
          <w:sz w:val="24"/>
          <w:szCs w:val="24"/>
          <w:lang w:val="es-AR"/>
        </w:rPr>
        <w:t xml:space="preserve">: Si el criterio es el mercado, palabras como igualdad y dignidad quedan desvirtuadas, pierden peso y con ellas se disuelve la autonomía de la persona falsamente confiada en la libertad de entrada o salida del mercado. </w:t>
      </w:r>
    </w:p>
    <w:p w:rsidR="00AC092D" w:rsidRPr="00334B46" w:rsidRDefault="002D53DC"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Entonces, el embrión</w:t>
      </w:r>
      <w:r w:rsidR="00AC092D" w:rsidRPr="00334B46">
        <w:rPr>
          <w:rFonts w:asciiTheme="majorHAnsi" w:hAnsiTheme="majorHAnsi" w:cstheme="majorHAnsi"/>
          <w:sz w:val="24"/>
          <w:szCs w:val="24"/>
          <w:lang w:val="es-AR"/>
        </w:rPr>
        <w:t xml:space="preserve"> </w:t>
      </w:r>
      <w:r w:rsidRPr="00334B46">
        <w:rPr>
          <w:rFonts w:asciiTheme="majorHAnsi" w:hAnsiTheme="majorHAnsi" w:cstheme="majorHAnsi"/>
          <w:sz w:val="24"/>
          <w:szCs w:val="24"/>
          <w:lang w:val="es-AR"/>
        </w:rPr>
        <w:t xml:space="preserve">como parte separada del cuerpo está fuera del comercio. En este mismo sentido se pronunció el Tribunal de Justicia de la Unión Europea en el Caso Oliver </w:t>
      </w:r>
      <w:proofErr w:type="spellStart"/>
      <w:r w:rsidRPr="00334B46">
        <w:rPr>
          <w:rFonts w:asciiTheme="majorHAnsi" w:hAnsiTheme="majorHAnsi" w:cstheme="majorHAnsi"/>
          <w:sz w:val="24"/>
          <w:szCs w:val="24"/>
          <w:lang w:val="es-AR"/>
        </w:rPr>
        <w:t>Brüstle</w:t>
      </w:r>
      <w:proofErr w:type="spellEnd"/>
      <w:r w:rsidRPr="00334B46">
        <w:rPr>
          <w:rFonts w:asciiTheme="majorHAnsi" w:hAnsiTheme="majorHAnsi" w:cstheme="majorHAnsi"/>
          <w:sz w:val="24"/>
          <w:szCs w:val="24"/>
          <w:lang w:val="es-AR"/>
        </w:rPr>
        <w:t xml:space="preserve"> Vs. Greenpeace </w:t>
      </w:r>
    </w:p>
    <w:p w:rsidR="00AC092D" w:rsidRPr="00334B46" w:rsidRDefault="002D53DC"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Desde el punto de vista ético, la manipulación de embriones humanos plantea la duda sobre la legitimidad de su uso para combatir el desarrollo de desórdenes genéticos en futuras generaciones. El uso científico o las técnicas aplicadas en los embriones suponen tanto dilemas éticos como legales en relación a la dignidad y el derecho. </w:t>
      </w:r>
    </w:p>
    <w:p w:rsidR="00AC092D" w:rsidRPr="00334B46" w:rsidRDefault="002D53DC"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Por lo tanto, es de interés público establecer los lím</w:t>
      </w:r>
      <w:bookmarkStart w:id="0" w:name="_GoBack"/>
      <w:bookmarkEnd w:id="0"/>
      <w:r w:rsidRPr="00334B46">
        <w:rPr>
          <w:rFonts w:asciiTheme="majorHAnsi" w:hAnsiTheme="majorHAnsi" w:cstheme="majorHAnsi"/>
          <w:sz w:val="24"/>
          <w:szCs w:val="24"/>
          <w:lang w:val="es-AR"/>
        </w:rPr>
        <w:t>ites en referencia al embrión in vitro para tomar actitudes responsables en su manipulación.</w:t>
      </w:r>
    </w:p>
    <w:p w:rsidR="00AC092D" w:rsidRPr="00334B46" w:rsidRDefault="002D53DC"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En este sentido, el artículo 57, mediante una regla general, prohíbe las prácticas que tengan por fin o consecuencia producir una alteración genética del embrión cuando esa alteración, precisamente por afectar al embrión, se transmita a la descendencia.</w:t>
      </w:r>
    </w:p>
    <w:p w:rsidR="00407787" w:rsidRPr="00334B46" w:rsidRDefault="002D53DC"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 xml:space="preserve"> Aunque en materia terminológica se utiliza una fórmula amplia a los efectos de no quedar obsoleta atento al rápido avance de la ciencia, lo cierto es que la prohibición estipulada en el artículo 57 contempla exclusivamente a las intervenciones que alteran el genoma del cigoto o del embrión temprano y están destinadas a producir mutaciones que se transmitirán a la descendencia</w:t>
      </w:r>
    </w:p>
    <w:p w:rsidR="00407787" w:rsidRPr="00334B46" w:rsidRDefault="002D53DC"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lastRenderedPageBreak/>
        <w:t xml:space="preserve"> La prohibición se funda en que actuar a nivel celular modificando los genes de los individuos significa actuar sobre el patrón genético de la humanidad, es decir, hacer intervenciones técnicas que son poco seguras en un ámbito de riesgo que nos hace ignorar totalmente las consecuencias derivadas de este tipo de intervención. También comprende cuestiones como la integridad personal, la identidad de las personas y del género humano en general</w:t>
      </w:r>
      <w:r w:rsidR="00407787" w:rsidRPr="00334B46">
        <w:rPr>
          <w:rFonts w:asciiTheme="majorHAnsi" w:hAnsiTheme="majorHAnsi" w:cstheme="majorHAnsi"/>
          <w:sz w:val="24"/>
          <w:szCs w:val="24"/>
          <w:lang w:val="es-AR"/>
        </w:rPr>
        <w:t>.</w:t>
      </w:r>
    </w:p>
    <w:p w:rsidR="00407787" w:rsidRPr="00334B46" w:rsidRDefault="002D53DC" w:rsidP="00334B46">
      <w:pPr>
        <w:spacing w:line="276" w:lineRule="auto"/>
        <w:jc w:val="both"/>
        <w:rPr>
          <w:rFonts w:asciiTheme="majorHAnsi" w:hAnsiTheme="majorHAnsi" w:cstheme="majorHAnsi"/>
          <w:sz w:val="24"/>
          <w:szCs w:val="24"/>
          <w:lang w:val="es-AR"/>
        </w:rPr>
      </w:pPr>
      <w:r w:rsidRPr="00334B46">
        <w:rPr>
          <w:rFonts w:asciiTheme="majorHAnsi" w:hAnsiTheme="majorHAnsi" w:cstheme="majorHAnsi"/>
          <w:sz w:val="24"/>
          <w:szCs w:val="24"/>
          <w:lang w:val="es-AR"/>
        </w:rPr>
        <w:t>Ahora bien, lo que la norma prohíbe es alterar o producir una alteración genética, no seleccionar, que es lo que sucede precisamente en el DGP. En otros términos, el artículo 57 no prohíbe los diagnósticos de genes tales como el DGP, en los que se aplican técn</w:t>
      </w:r>
      <w:r w:rsidR="00407787" w:rsidRPr="00334B46">
        <w:rPr>
          <w:rFonts w:asciiTheme="majorHAnsi" w:hAnsiTheme="majorHAnsi" w:cstheme="majorHAnsi"/>
          <w:sz w:val="24"/>
          <w:szCs w:val="24"/>
          <w:lang w:val="es-AR"/>
        </w:rPr>
        <w:t xml:space="preserve">icas que no afectan al cigoto. </w:t>
      </w:r>
    </w:p>
    <w:p w:rsidR="00C10ED7" w:rsidRPr="00334B46" w:rsidRDefault="00C10ED7" w:rsidP="00334B46">
      <w:pPr>
        <w:spacing w:line="276" w:lineRule="auto"/>
        <w:jc w:val="both"/>
        <w:rPr>
          <w:rFonts w:asciiTheme="majorHAnsi" w:hAnsiTheme="majorHAnsi" w:cstheme="majorHAnsi"/>
          <w:b/>
          <w:sz w:val="24"/>
          <w:szCs w:val="24"/>
          <w:u w:val="double"/>
          <w:lang w:val="es-AR"/>
        </w:rPr>
      </w:pPr>
      <w:r w:rsidRPr="00334B46">
        <w:rPr>
          <w:rFonts w:asciiTheme="majorHAnsi" w:hAnsiTheme="majorHAnsi" w:cstheme="majorHAnsi"/>
          <w:b/>
          <w:sz w:val="24"/>
          <w:szCs w:val="24"/>
          <w:u w:val="double"/>
          <w:lang w:val="es-AR"/>
        </w:rPr>
        <w:t xml:space="preserve">ACTIVIDAD: </w:t>
      </w:r>
    </w:p>
    <w:p w:rsidR="00C10ED7" w:rsidRPr="00334B46" w:rsidRDefault="00C10ED7" w:rsidP="00334B46">
      <w:pPr>
        <w:pStyle w:val="Prrafodelista"/>
        <w:numPr>
          <w:ilvl w:val="0"/>
          <w:numId w:val="1"/>
        </w:numPr>
        <w:spacing w:line="276" w:lineRule="auto"/>
        <w:jc w:val="both"/>
        <w:rPr>
          <w:rFonts w:asciiTheme="majorHAnsi" w:hAnsiTheme="majorHAnsi" w:cstheme="majorHAnsi"/>
          <w:b/>
          <w:sz w:val="24"/>
          <w:szCs w:val="24"/>
          <w:lang w:val="es-AR"/>
        </w:rPr>
      </w:pPr>
      <w:r w:rsidRPr="00334B46">
        <w:rPr>
          <w:rFonts w:asciiTheme="majorHAnsi" w:hAnsiTheme="majorHAnsi" w:cstheme="majorHAnsi"/>
          <w:b/>
          <w:sz w:val="24"/>
          <w:szCs w:val="24"/>
          <w:lang w:val="es-AR"/>
        </w:rPr>
        <w:t xml:space="preserve">LUEGO DE HABER LEÍDO DETENIDAMENTE, INVETIGUE LOS FUNDAMENTOS JURÍDICOS, CIENTÍFICOS ÉTICOS Y REGILIOSOS QUE SE PIDE A LA HORA DE DEFENDER LAS DOS VIDAS. </w:t>
      </w:r>
    </w:p>
    <w:p w:rsidR="0085013A" w:rsidRPr="00334B46" w:rsidRDefault="0085013A" w:rsidP="00334B46">
      <w:pPr>
        <w:pStyle w:val="Prrafodelista"/>
        <w:numPr>
          <w:ilvl w:val="0"/>
          <w:numId w:val="1"/>
        </w:numPr>
        <w:spacing w:line="276" w:lineRule="auto"/>
        <w:jc w:val="both"/>
        <w:rPr>
          <w:rFonts w:asciiTheme="majorHAnsi" w:hAnsiTheme="majorHAnsi" w:cstheme="majorHAnsi"/>
          <w:b/>
          <w:sz w:val="24"/>
          <w:szCs w:val="24"/>
          <w:lang w:val="es-AR"/>
        </w:rPr>
      </w:pPr>
      <w:r w:rsidRPr="00334B46">
        <w:rPr>
          <w:rFonts w:asciiTheme="majorHAnsi" w:hAnsiTheme="majorHAnsi" w:cstheme="majorHAnsi"/>
          <w:b/>
          <w:sz w:val="24"/>
          <w:szCs w:val="24"/>
          <w:lang w:val="es-AR"/>
        </w:rPr>
        <w:t>REDACTE UNA REFLEXIÓN PERSONAL RESPECTO AL TEMA.</w:t>
      </w:r>
    </w:p>
    <w:sectPr w:rsidR="0085013A" w:rsidRPr="00334B46" w:rsidSect="00157380">
      <w:pgSz w:w="12240" w:h="15840"/>
      <w:pgMar w:top="2268" w:right="1134"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82E65"/>
    <w:multiLevelType w:val="hybridMultilevel"/>
    <w:tmpl w:val="3CEED712"/>
    <w:lvl w:ilvl="0" w:tplc="D20E17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80"/>
    <w:rsid w:val="0008425E"/>
    <w:rsid w:val="00140C5C"/>
    <w:rsid w:val="00157380"/>
    <w:rsid w:val="001C48C3"/>
    <w:rsid w:val="002D53DC"/>
    <w:rsid w:val="002E458E"/>
    <w:rsid w:val="00334B46"/>
    <w:rsid w:val="003D74C6"/>
    <w:rsid w:val="00407787"/>
    <w:rsid w:val="005D522E"/>
    <w:rsid w:val="0061436C"/>
    <w:rsid w:val="00617A4B"/>
    <w:rsid w:val="00702BDB"/>
    <w:rsid w:val="0073612D"/>
    <w:rsid w:val="0085013A"/>
    <w:rsid w:val="00877B30"/>
    <w:rsid w:val="00900C92"/>
    <w:rsid w:val="00916D43"/>
    <w:rsid w:val="00A74E52"/>
    <w:rsid w:val="00AC092D"/>
    <w:rsid w:val="00B146B8"/>
    <w:rsid w:val="00B42E1C"/>
    <w:rsid w:val="00B75A4C"/>
    <w:rsid w:val="00C10ED7"/>
    <w:rsid w:val="00D11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C805"/>
  <w15:chartTrackingRefBased/>
  <w15:docId w15:val="{393E58A2-DE05-4E45-80A0-B67A0A0C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0ED7"/>
    <w:pPr>
      <w:ind w:left="720"/>
      <w:contextualSpacing/>
    </w:pPr>
  </w:style>
  <w:style w:type="paragraph" w:styleId="Encabezado">
    <w:name w:val="header"/>
    <w:basedOn w:val="Normal"/>
    <w:link w:val="EncabezadoCar"/>
    <w:uiPriority w:val="99"/>
    <w:semiHidden/>
    <w:unhideWhenUsed/>
    <w:rsid w:val="00702BDB"/>
    <w:pPr>
      <w:tabs>
        <w:tab w:val="center" w:pos="4252"/>
        <w:tab w:val="right" w:pos="8504"/>
      </w:tabs>
      <w:spacing w:after="0" w:line="240" w:lineRule="auto"/>
    </w:pPr>
    <w:rPr>
      <w:lang w:val="es-AR"/>
    </w:rPr>
  </w:style>
  <w:style w:type="character" w:customStyle="1" w:styleId="EncabezadoCar">
    <w:name w:val="Encabezado Car"/>
    <w:basedOn w:val="Fuentedeprrafopredeter"/>
    <w:link w:val="Encabezado"/>
    <w:uiPriority w:val="99"/>
    <w:semiHidden/>
    <w:rsid w:val="00702BDB"/>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7</Pages>
  <Words>2244</Words>
  <Characters>12792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13</cp:revision>
  <dcterms:created xsi:type="dcterms:W3CDTF">2020-03-18T11:00:00Z</dcterms:created>
  <dcterms:modified xsi:type="dcterms:W3CDTF">2023-03-22T12:42:00Z</dcterms:modified>
</cp:coreProperties>
</file>