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740" w:type="dxa"/>
        <w:tblLook w:val="04A0" w:firstRow="1" w:lastRow="0" w:firstColumn="1" w:lastColumn="0" w:noHBand="0" w:noVBand="1"/>
      </w:tblPr>
      <w:tblGrid>
        <w:gridCol w:w="9464"/>
        <w:gridCol w:w="1276"/>
      </w:tblGrid>
      <w:tr w:rsidR="00B053F9" w:rsidTr="009E6A79">
        <w:trPr>
          <w:trHeight w:val="1985"/>
        </w:trPr>
        <w:tc>
          <w:tcPr>
            <w:tcW w:w="9464" w:type="dxa"/>
            <w:tcBorders>
              <w:top w:val="nil"/>
              <w:left w:val="nil"/>
              <w:bottom w:val="nil"/>
              <w:right w:val="nil"/>
            </w:tcBorders>
            <w:hideMark/>
          </w:tcPr>
          <w:p w:rsidR="00B053F9" w:rsidRPr="009E6A79" w:rsidRDefault="00B053F9" w:rsidP="0072427A">
            <w:pPr>
              <w:spacing w:line="240" w:lineRule="auto"/>
              <w:jc w:val="center"/>
              <w:rPr>
                <w:rFonts w:ascii="Arial" w:hAnsi="Arial" w:cs="Arial"/>
                <w:b/>
                <w:sz w:val="18"/>
                <w:szCs w:val="24"/>
                <w:lang w:val="es-419"/>
              </w:rPr>
            </w:pPr>
            <w:r w:rsidRPr="009E6A79">
              <w:rPr>
                <w:rFonts w:ascii="Arial" w:hAnsi="Arial" w:cs="Arial"/>
                <w:b/>
                <w:sz w:val="18"/>
                <w:szCs w:val="24"/>
                <w:lang w:val="es-419"/>
              </w:rPr>
              <w:t>COLEGIO SANTA ROSA DE LIMA</w:t>
            </w:r>
          </w:p>
          <w:p w:rsidR="00B053F9" w:rsidRPr="009E6A79" w:rsidRDefault="00B053F9" w:rsidP="0072427A">
            <w:pPr>
              <w:spacing w:line="240" w:lineRule="auto"/>
              <w:jc w:val="center"/>
              <w:rPr>
                <w:rFonts w:ascii="Forte" w:hAnsi="Forte" w:cs="Times New Roman"/>
                <w:sz w:val="20"/>
                <w:szCs w:val="24"/>
                <w:lang w:val="es-419"/>
              </w:rPr>
            </w:pPr>
            <w:r w:rsidRPr="009E6A79">
              <w:rPr>
                <w:rFonts w:ascii="Forte" w:hAnsi="Forte" w:cs="Times New Roman"/>
                <w:sz w:val="20"/>
                <w:szCs w:val="24"/>
                <w:lang w:val="es-419"/>
              </w:rPr>
              <w:t>Desde la revolución de la ternura, construimos nuestra nueva Casa</w:t>
            </w:r>
          </w:p>
          <w:p w:rsidR="00B053F9" w:rsidRPr="009E6A79" w:rsidRDefault="00B053F9" w:rsidP="0072427A">
            <w:pPr>
              <w:spacing w:line="240" w:lineRule="auto"/>
              <w:jc w:val="both"/>
              <w:rPr>
                <w:rFonts w:ascii="Arial" w:hAnsi="Arial" w:cs="Arial"/>
                <w:sz w:val="16"/>
                <w:szCs w:val="24"/>
                <w:lang w:val="es-419"/>
              </w:rPr>
            </w:pPr>
            <w:r w:rsidRPr="009E6A79">
              <w:rPr>
                <w:rFonts w:ascii="Arial" w:hAnsi="Arial" w:cs="Arial"/>
                <w:sz w:val="16"/>
                <w:szCs w:val="24"/>
                <w:u w:val="single"/>
                <w:lang w:val="es-419"/>
              </w:rPr>
              <w:t>Espacio Curricular</w:t>
            </w:r>
            <w:r w:rsidRPr="009E6A79">
              <w:rPr>
                <w:rFonts w:ascii="Arial" w:hAnsi="Arial" w:cs="Arial"/>
                <w:sz w:val="16"/>
                <w:szCs w:val="24"/>
                <w:lang w:val="es-419"/>
              </w:rPr>
              <w:t>: Historia de San Juan</w:t>
            </w:r>
          </w:p>
          <w:p w:rsidR="00B053F9" w:rsidRPr="009E6A79" w:rsidRDefault="00B053F9" w:rsidP="0072427A">
            <w:pPr>
              <w:spacing w:line="240" w:lineRule="auto"/>
              <w:jc w:val="both"/>
              <w:rPr>
                <w:rFonts w:ascii="Arial" w:hAnsi="Arial" w:cs="Arial"/>
                <w:sz w:val="16"/>
                <w:szCs w:val="24"/>
                <w:lang w:val="es-419"/>
              </w:rPr>
            </w:pPr>
            <w:r w:rsidRPr="009E6A79">
              <w:rPr>
                <w:rFonts w:ascii="Arial" w:hAnsi="Arial" w:cs="Arial"/>
                <w:sz w:val="16"/>
                <w:szCs w:val="24"/>
                <w:u w:val="single"/>
                <w:lang w:val="es-419"/>
              </w:rPr>
              <w:t>Profesor Suplente</w:t>
            </w:r>
            <w:r w:rsidRPr="009E6A79">
              <w:rPr>
                <w:rFonts w:ascii="Arial" w:hAnsi="Arial" w:cs="Arial"/>
                <w:sz w:val="16"/>
                <w:szCs w:val="24"/>
                <w:lang w:val="es-419"/>
              </w:rPr>
              <w:t>: Héctor Emiliano Contreras</w:t>
            </w:r>
          </w:p>
          <w:p w:rsidR="00B053F9" w:rsidRPr="009E6A79" w:rsidRDefault="00B053F9" w:rsidP="0072427A">
            <w:pPr>
              <w:spacing w:line="240" w:lineRule="auto"/>
              <w:jc w:val="both"/>
              <w:rPr>
                <w:rFonts w:ascii="Arial" w:hAnsi="Arial" w:cs="Arial"/>
                <w:sz w:val="16"/>
                <w:szCs w:val="24"/>
                <w:lang w:val="es-419"/>
              </w:rPr>
            </w:pPr>
            <w:r w:rsidRPr="009E6A79">
              <w:rPr>
                <w:rFonts w:ascii="Arial" w:hAnsi="Arial" w:cs="Arial"/>
                <w:sz w:val="16"/>
                <w:szCs w:val="24"/>
                <w:u w:val="single"/>
                <w:lang w:val="es-419"/>
              </w:rPr>
              <w:t>Curso</w:t>
            </w:r>
            <w:r w:rsidRPr="009E6A79">
              <w:rPr>
                <w:rFonts w:ascii="Arial" w:hAnsi="Arial" w:cs="Arial"/>
                <w:sz w:val="16"/>
                <w:szCs w:val="24"/>
                <w:lang w:val="es-419"/>
              </w:rPr>
              <w:t>: 6° B</w:t>
            </w:r>
          </w:p>
          <w:p w:rsidR="00B053F9" w:rsidRPr="009E6A79" w:rsidRDefault="00B053F9" w:rsidP="0072427A">
            <w:pPr>
              <w:spacing w:line="240" w:lineRule="auto"/>
              <w:jc w:val="both"/>
              <w:rPr>
                <w:rFonts w:ascii="Arial" w:hAnsi="Arial" w:cs="Arial"/>
                <w:b/>
                <w:sz w:val="16"/>
                <w:szCs w:val="24"/>
                <w:lang w:val="es-419"/>
              </w:rPr>
            </w:pPr>
            <w:r w:rsidRPr="009E6A79">
              <w:rPr>
                <w:rFonts w:ascii="Arial" w:hAnsi="Arial" w:cs="Arial"/>
                <w:b/>
                <w:sz w:val="16"/>
                <w:szCs w:val="24"/>
                <w:u w:val="single"/>
                <w:lang w:val="es-419"/>
              </w:rPr>
              <w:t>Unidad N° I</w:t>
            </w:r>
            <w:r w:rsidRPr="009E6A79">
              <w:rPr>
                <w:rFonts w:ascii="Arial" w:hAnsi="Arial" w:cs="Arial"/>
                <w:b/>
                <w:sz w:val="16"/>
                <w:szCs w:val="24"/>
                <w:lang w:val="es-419"/>
              </w:rPr>
              <w:t>: San Juan Colonial: Vida cotidiana. Educación. La familia.</w:t>
            </w:r>
          </w:p>
          <w:p w:rsidR="00B053F9" w:rsidRDefault="00B053F9" w:rsidP="00B053F9">
            <w:pPr>
              <w:spacing w:line="240" w:lineRule="auto"/>
              <w:jc w:val="both"/>
              <w:rPr>
                <w:rFonts w:ascii="Times New Roman" w:hAnsi="Times New Roman" w:cs="Times New Roman"/>
                <w:sz w:val="24"/>
                <w:szCs w:val="24"/>
                <w:lang w:val="es-419"/>
              </w:rPr>
            </w:pPr>
            <w:r w:rsidRPr="009E6A79">
              <w:rPr>
                <w:rFonts w:ascii="Arial" w:hAnsi="Arial" w:cs="Arial"/>
                <w:sz w:val="16"/>
                <w:szCs w:val="24"/>
                <w:u w:val="single"/>
                <w:lang w:val="es-419"/>
              </w:rPr>
              <w:t>Ciclo Lectivo</w:t>
            </w:r>
            <w:r w:rsidRPr="009E6A79">
              <w:rPr>
                <w:rFonts w:ascii="Arial" w:hAnsi="Arial" w:cs="Arial"/>
                <w:sz w:val="16"/>
                <w:szCs w:val="24"/>
                <w:lang w:val="es-419"/>
              </w:rPr>
              <w:t>: 2023 - Periodo de trabajo: 17/4/2023 al 16/5/2023</w:t>
            </w:r>
          </w:p>
        </w:tc>
        <w:tc>
          <w:tcPr>
            <w:tcW w:w="1276" w:type="dxa"/>
            <w:tcBorders>
              <w:top w:val="nil"/>
              <w:left w:val="nil"/>
              <w:bottom w:val="nil"/>
              <w:right w:val="nil"/>
            </w:tcBorders>
            <w:hideMark/>
          </w:tcPr>
          <w:p w:rsidR="00B053F9" w:rsidRDefault="00B053F9" w:rsidP="0072427A">
            <w:pPr>
              <w:spacing w:line="240" w:lineRule="auto"/>
              <w:jc w:val="both"/>
              <w:rPr>
                <w:rFonts w:ascii="Times New Roman" w:hAnsi="Times New Roman" w:cs="Times New Roman"/>
                <w:b/>
                <w:sz w:val="24"/>
                <w:szCs w:val="24"/>
                <w:lang w:val="es-419"/>
              </w:rPr>
            </w:pPr>
            <w:r>
              <w:rPr>
                <w:rFonts w:cs="Arial"/>
                <w:noProof/>
                <w:lang w:val="es-ES" w:eastAsia="es-ES"/>
              </w:rPr>
              <w:drawing>
                <wp:inline distT="0" distB="0" distL="0" distR="0" wp14:anchorId="10CE2267" wp14:editId="4F0A77F3">
                  <wp:extent cx="634634" cy="892454"/>
                  <wp:effectExtent l="0" t="0" r="0" b="3175"/>
                  <wp:docPr id="3" name="Imagen 3"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4634" cy="892454"/>
                          </a:xfrm>
                          <a:prstGeom prst="rect">
                            <a:avLst/>
                          </a:prstGeom>
                          <a:noFill/>
                          <a:ln>
                            <a:noFill/>
                          </a:ln>
                        </pic:spPr>
                      </pic:pic>
                    </a:graphicData>
                  </a:graphic>
                </wp:inline>
              </w:drawing>
            </w:r>
          </w:p>
        </w:tc>
      </w:tr>
    </w:tbl>
    <w:p w:rsidR="00B25659" w:rsidRDefault="00B25659"/>
    <w:p w:rsidR="00A351F6" w:rsidRPr="009E6A79" w:rsidRDefault="00994652" w:rsidP="00A351F6">
      <w:pPr>
        <w:rPr>
          <w:b/>
          <w:sz w:val="20"/>
        </w:rPr>
      </w:pPr>
      <w:r w:rsidRPr="009E6A79">
        <w:rPr>
          <w:b/>
          <w:sz w:val="20"/>
        </w:rPr>
        <w:t>1. Vida cotidiana.</w:t>
      </w:r>
    </w:p>
    <w:p w:rsidR="002558B5" w:rsidRPr="009E6A79" w:rsidRDefault="002558B5" w:rsidP="00A351F6">
      <w:pPr>
        <w:rPr>
          <w:b/>
          <w:sz w:val="20"/>
        </w:rPr>
      </w:pPr>
    </w:p>
    <w:p w:rsidR="002558B5" w:rsidRPr="009E6A79" w:rsidRDefault="002558B5" w:rsidP="002558B5">
      <w:pPr>
        <w:jc w:val="right"/>
        <w:rPr>
          <w:i/>
          <w:sz w:val="20"/>
        </w:rPr>
      </w:pPr>
      <w:r w:rsidRPr="009E6A79">
        <w:rPr>
          <w:i/>
          <w:sz w:val="20"/>
        </w:rPr>
        <w:t>“Levantarse temprano, asistir a los trabajos de la heredad, comer a la mitad del día, dormir una siesta de tres horas, volver a la ocupación hasta ponerse el sol, rezar, jugar un par de horas o más a los naipes, cenar y acostarse para volver a levantarse temprano al siguiente día, repetir lo mismo del anterior, y así sucesivamente toda la vida”.</w:t>
      </w:r>
    </w:p>
    <w:p w:rsidR="002558B5" w:rsidRPr="009E6A79" w:rsidRDefault="002558B5" w:rsidP="002558B5">
      <w:pPr>
        <w:jc w:val="right"/>
        <w:rPr>
          <w:i/>
          <w:sz w:val="20"/>
        </w:rPr>
      </w:pPr>
      <w:r w:rsidRPr="009E6A79">
        <w:rPr>
          <w:i/>
          <w:sz w:val="20"/>
        </w:rPr>
        <w:t>“Recuerdos históricos sobre la provincia de Cuyo.”</w:t>
      </w:r>
    </w:p>
    <w:p w:rsidR="002558B5" w:rsidRPr="009E6A79" w:rsidRDefault="002558B5" w:rsidP="002558B5">
      <w:pPr>
        <w:jc w:val="right"/>
        <w:rPr>
          <w:i/>
          <w:sz w:val="20"/>
        </w:rPr>
      </w:pPr>
      <w:r w:rsidRPr="009E6A79">
        <w:rPr>
          <w:i/>
          <w:sz w:val="20"/>
        </w:rPr>
        <w:t>Damián Hudson (1808 – 1875)</w:t>
      </w:r>
    </w:p>
    <w:p w:rsidR="00994652" w:rsidRPr="009E6A79" w:rsidRDefault="00994652" w:rsidP="00E4796E">
      <w:pPr>
        <w:jc w:val="both"/>
        <w:rPr>
          <w:sz w:val="20"/>
        </w:rPr>
      </w:pPr>
      <w:r w:rsidRPr="009E6A79">
        <w:rPr>
          <w:sz w:val="20"/>
        </w:rPr>
        <w:t>El pueblo sanjuanino era alegre, las principales fiestas eran las religiosas: Semana Santa, Corpus Christi y el día de la Ascensión. Se asistía masivamente, a las procesiones preparadas con anticipación; en el piso se colocaban ramas de hinojo, pájaro bobo y hierba buena para perfumar el ambiente y evitar las polvaredas. Terminado el oficio religioso aparecían las negritas y mulatas vendiendo tortitas, semitas con chicharrones, alfeñiques, alfajores, etc. En lugares más apartados se levantaban las llamadas “</w:t>
      </w:r>
      <w:proofErr w:type="spellStart"/>
      <w:r w:rsidRPr="009E6A79">
        <w:rPr>
          <w:sz w:val="20"/>
        </w:rPr>
        <w:t>ramaditas</w:t>
      </w:r>
      <w:proofErr w:type="spellEnd"/>
      <w:r w:rsidRPr="009E6A79">
        <w:rPr>
          <w:sz w:val="20"/>
        </w:rPr>
        <w:t>” donde se elaboraba a la vista del público empanadas, tortas, locro, machacado, etc.</w:t>
      </w:r>
    </w:p>
    <w:p w:rsidR="002558B5" w:rsidRPr="009E6A79" w:rsidRDefault="002558B5" w:rsidP="00E4796E">
      <w:pPr>
        <w:jc w:val="both"/>
        <w:rPr>
          <w:sz w:val="20"/>
        </w:rPr>
      </w:pPr>
      <w:r w:rsidRPr="009E6A79">
        <w:rPr>
          <w:sz w:val="20"/>
        </w:rPr>
        <w:t>La Plaza Mayor, actual Plaza 25 de mayo, era el escenario obligado de las revistas militares, procesiones y juego públicos.</w:t>
      </w:r>
    </w:p>
    <w:p w:rsidR="002558B5" w:rsidRPr="009E6A79" w:rsidRDefault="002558B5" w:rsidP="00E4796E">
      <w:pPr>
        <w:jc w:val="both"/>
        <w:rPr>
          <w:sz w:val="20"/>
        </w:rPr>
      </w:pPr>
      <w:proofErr w:type="spellStart"/>
      <w:r w:rsidRPr="009E6A79">
        <w:rPr>
          <w:sz w:val="20"/>
        </w:rPr>
        <w:t>Puyuta</w:t>
      </w:r>
      <w:proofErr w:type="spellEnd"/>
      <w:r w:rsidRPr="009E6A79">
        <w:rPr>
          <w:sz w:val="20"/>
        </w:rPr>
        <w:t>, Marquesado o Pocito eran lugares de veraneo. Las brevas del Bermejito y los duraznos del Pocito eran tan preciados que con frecuencia las familias realizaban allí picnics dominicales. También se hacían excursiones campestres a los baños de Zonda y La Laja.</w:t>
      </w:r>
    </w:p>
    <w:p w:rsidR="002558B5" w:rsidRPr="009E6A79" w:rsidRDefault="002558B5" w:rsidP="00E4796E">
      <w:pPr>
        <w:jc w:val="both"/>
        <w:rPr>
          <w:sz w:val="20"/>
        </w:rPr>
      </w:pPr>
      <w:r w:rsidRPr="009E6A79">
        <w:rPr>
          <w:sz w:val="20"/>
        </w:rPr>
        <w:t xml:space="preserve">Entre las fiestas sociales, se destacaban los banquetes que se servían en las galerías abiertas de las viejas casonas provincianas: </w:t>
      </w:r>
    </w:p>
    <w:p w:rsidR="002558B5" w:rsidRPr="009E6A79" w:rsidRDefault="002558B5" w:rsidP="00E4796E">
      <w:pPr>
        <w:jc w:val="both"/>
        <w:rPr>
          <w:sz w:val="20"/>
        </w:rPr>
      </w:pPr>
      <w:r w:rsidRPr="009E6A79">
        <w:rPr>
          <w:sz w:val="20"/>
        </w:rPr>
        <w:t>“Empezaban con empanada</w:t>
      </w:r>
      <w:r w:rsidR="009E6A79" w:rsidRPr="009E6A79">
        <w:rPr>
          <w:sz w:val="20"/>
        </w:rPr>
        <w:t>s</w:t>
      </w:r>
      <w:r w:rsidRPr="009E6A79">
        <w:rPr>
          <w:sz w:val="20"/>
        </w:rPr>
        <w:t xml:space="preserve">, asado, cabrito o lechón, humitas en chala en verano y locros o cazuela en invierno, y regados con abundante </w:t>
      </w:r>
      <w:proofErr w:type="spellStart"/>
      <w:r w:rsidRPr="009E6A79">
        <w:rPr>
          <w:sz w:val="20"/>
        </w:rPr>
        <w:t>blanquilllo</w:t>
      </w:r>
      <w:proofErr w:type="spellEnd"/>
      <w:r w:rsidRPr="009E6A79">
        <w:rPr>
          <w:sz w:val="20"/>
        </w:rPr>
        <w:t xml:space="preserve"> hecho a patas, desde el comienzo hasta las ambrosías, alfeñiques y merengues de postre; se cerraban con el té  de naranjo o de cedrón y la yerba dulce cebada en mate de plata, previo unos sorbos de aguardiente para componer el estómago”.</w:t>
      </w:r>
    </w:p>
    <w:p w:rsidR="002558B5" w:rsidRPr="009E6A79" w:rsidRDefault="002558B5" w:rsidP="00E4796E">
      <w:pPr>
        <w:jc w:val="both"/>
        <w:rPr>
          <w:sz w:val="20"/>
        </w:rPr>
      </w:pPr>
      <w:r w:rsidRPr="009E6A79">
        <w:rPr>
          <w:sz w:val="20"/>
        </w:rPr>
        <w:t>También constituían un importante motivo de reunión social los óleos o bautismos, las riñas de gallos, las carreras de embolsados, domas de potros, las fogatas de San Juan, los carnavales y los corsos de flores.</w:t>
      </w:r>
    </w:p>
    <w:p w:rsidR="002558B5" w:rsidRPr="009E6A79" w:rsidRDefault="002558B5" w:rsidP="00E4796E">
      <w:pPr>
        <w:jc w:val="both"/>
        <w:rPr>
          <w:sz w:val="20"/>
        </w:rPr>
      </w:pPr>
      <w:r w:rsidRPr="009E6A79">
        <w:rPr>
          <w:sz w:val="20"/>
        </w:rPr>
        <w:t xml:space="preserve">Por lo menos hasta 1816 hubo corridas de toros en la Plaza Mayor. Los domingos y aniversarios patrios había funciones de teatro. Después de las representaciones, la concurrencia pasaba a un salón de baile y la fiesta era general. </w:t>
      </w:r>
    </w:p>
    <w:p w:rsidR="009366A5" w:rsidRPr="009E6A79" w:rsidRDefault="009366A5" w:rsidP="00E4796E">
      <w:pPr>
        <w:jc w:val="both"/>
        <w:rPr>
          <w:sz w:val="20"/>
        </w:rPr>
      </w:pPr>
      <w:r w:rsidRPr="009E6A79">
        <w:rPr>
          <w:sz w:val="20"/>
        </w:rPr>
        <w:t>En el caso de la muerte del padre, la madre, o el marido, los lutos eran exageradamente largos y rigurosos, duraban hasta tres años. La viuda debía llevar indefectiblemente tres velos negros y un crespón. Los hombres usaban ropa oscura, faja negra en los sombreros, el brazo derecho y la solapa.  En la puerta de la calle había un gancho para colgar un crespón, lo mismo que en los dinteles de las ventanas; no se permitía tocar música ni hacer festejos de ninguna especie. Las damas solían colocarse unos aretes de crespón, los papeles y sobres de cartas llevaban franjas renegridas. El rigor llegaba a tanto que hasta el mate se servía de luto, colocando en la bombilla un moñito negro o una simple cinta que pendía de la parte inferior.</w:t>
      </w:r>
    </w:p>
    <w:p w:rsidR="009366A5" w:rsidRPr="009E6A79" w:rsidRDefault="009366A5" w:rsidP="00E4796E">
      <w:pPr>
        <w:jc w:val="both"/>
        <w:rPr>
          <w:sz w:val="20"/>
        </w:rPr>
      </w:pPr>
      <w:r w:rsidRPr="009E6A79">
        <w:rPr>
          <w:sz w:val="20"/>
        </w:rPr>
        <w:t>En el verano se ponían telas blancas mojadas en las ventanas y puertas para enfriar el ambiente; en invierno se colocaban imponentes braseros de cobre que servían de calentadores.</w:t>
      </w:r>
    </w:p>
    <w:p w:rsidR="002558B5" w:rsidRPr="009E6A79" w:rsidRDefault="002558B5" w:rsidP="00E4796E">
      <w:pPr>
        <w:jc w:val="both"/>
        <w:rPr>
          <w:sz w:val="20"/>
        </w:rPr>
      </w:pPr>
    </w:p>
    <w:p w:rsidR="00364F79" w:rsidRPr="009E6A79" w:rsidRDefault="00364F79" w:rsidP="00E4796E">
      <w:pPr>
        <w:jc w:val="both"/>
        <w:rPr>
          <w:b/>
          <w:sz w:val="20"/>
        </w:rPr>
      </w:pPr>
      <w:r w:rsidRPr="009E6A79">
        <w:rPr>
          <w:b/>
          <w:sz w:val="20"/>
        </w:rPr>
        <w:t>2. La familia.</w:t>
      </w:r>
    </w:p>
    <w:p w:rsidR="00364F79" w:rsidRPr="009E6A79" w:rsidRDefault="00364F79" w:rsidP="00E4796E">
      <w:pPr>
        <w:jc w:val="both"/>
        <w:rPr>
          <w:sz w:val="20"/>
        </w:rPr>
      </w:pPr>
      <w:r w:rsidRPr="009E6A79">
        <w:rPr>
          <w:sz w:val="20"/>
        </w:rPr>
        <w:t>Analizando la vida familiar colonial, es acertado mencionar su aspecto patriarcal ya que ella se constituyó, siempre en base a la figura troncal del padre.</w:t>
      </w:r>
    </w:p>
    <w:p w:rsidR="00364F79" w:rsidRPr="009E6A79" w:rsidRDefault="00364F79" w:rsidP="00E4796E">
      <w:pPr>
        <w:jc w:val="both"/>
        <w:rPr>
          <w:sz w:val="20"/>
        </w:rPr>
      </w:pPr>
      <w:r w:rsidRPr="009E6A79">
        <w:rPr>
          <w:sz w:val="20"/>
        </w:rPr>
        <w:lastRenderedPageBreak/>
        <w:t>Si bien no existió una reverencia tiránica hacia el padre, fue tanta su preponderancia que su voluntad era definitiva. Sin embargo, la madre era la reina del hogar que cuidaba de los hijos y de todos los menesteres familiares. Los varones se emancipaban con el matrimonio o cuando siendo mayores se alejaban definitivamente del hogar. Las hijas se emancipaban solo con el matrimonio el cual se llevaba a cabo con el consentimiento del padre. Esta férrea disciplina daba lugar, con frecuencia, a que varias generaciones vivieran juntas bajo el mismo techo.</w:t>
      </w:r>
    </w:p>
    <w:p w:rsidR="00364F79" w:rsidRPr="009E6A79" w:rsidRDefault="00364F79" w:rsidP="00E4796E">
      <w:pPr>
        <w:jc w:val="both"/>
        <w:rPr>
          <w:sz w:val="20"/>
        </w:rPr>
      </w:pPr>
      <w:r w:rsidRPr="009E6A79">
        <w:rPr>
          <w:sz w:val="20"/>
        </w:rPr>
        <w:t>La servidumbre que rodeaba la casa patriarcal era numerosa y se componía, indistintamente, de negros, mulatos y zambos. Eran tratados con benevolencia aun cuando se guardaba un gran distanciamiento con los amos o patrones. En algunas oportunidades, viejos servidores adoptaban el apellido de sus amos.</w:t>
      </w:r>
    </w:p>
    <w:p w:rsidR="00994652" w:rsidRPr="009E6A79" w:rsidRDefault="00994652" w:rsidP="00E4796E">
      <w:pPr>
        <w:jc w:val="both"/>
        <w:rPr>
          <w:sz w:val="20"/>
        </w:rPr>
      </w:pPr>
      <w:r w:rsidRPr="009E6A79">
        <w:rPr>
          <w:sz w:val="20"/>
        </w:rPr>
        <w:t xml:space="preserve">La familia provinciana era sencilla, acogedora y extremadamente atenta con los visitantes, esta afectuosidad quedó documentada en el trato que se prodigó particularmente a los exiliados que por motivos políticos llegaron a estas regiones; son testimonios imborrables los recuerdos, históricamente probados, de don Cornelio Saavedra y Juan Martín de Pueyrredón, quienes en ciertas oportunidades gozaron del respeto y agasajo de la sociedad sanjuanina. Pueyrredón dijo: “para un extranjero la sociedad de San Juan es encantadora y casi no hay ejemplo de alguien que visitando esta provincia no se case y se quede en ella”. </w:t>
      </w:r>
    </w:p>
    <w:p w:rsidR="000A260F" w:rsidRPr="009E6A79" w:rsidRDefault="000A260F" w:rsidP="00E4796E">
      <w:pPr>
        <w:jc w:val="both"/>
        <w:rPr>
          <w:sz w:val="20"/>
        </w:rPr>
      </w:pPr>
    </w:p>
    <w:p w:rsidR="00D906B3" w:rsidRPr="009E6A79" w:rsidRDefault="002558B5" w:rsidP="00E4796E">
      <w:pPr>
        <w:jc w:val="both"/>
        <w:rPr>
          <w:sz w:val="20"/>
        </w:rPr>
      </w:pPr>
      <w:r w:rsidRPr="009E6A79">
        <w:rPr>
          <w:b/>
          <w:sz w:val="20"/>
        </w:rPr>
        <w:t xml:space="preserve">3. </w:t>
      </w:r>
      <w:r w:rsidR="00D906B3" w:rsidRPr="009E6A79">
        <w:rPr>
          <w:b/>
          <w:sz w:val="20"/>
        </w:rPr>
        <w:t>Vestimenta</w:t>
      </w:r>
      <w:r w:rsidR="00D906B3" w:rsidRPr="009E6A79">
        <w:rPr>
          <w:sz w:val="20"/>
        </w:rPr>
        <w:t>.</w:t>
      </w:r>
    </w:p>
    <w:p w:rsidR="00D906B3" w:rsidRPr="009E6A79" w:rsidRDefault="00D906B3" w:rsidP="00E4796E">
      <w:pPr>
        <w:jc w:val="both"/>
        <w:rPr>
          <w:sz w:val="20"/>
        </w:rPr>
      </w:pPr>
      <w:r w:rsidRPr="009E6A79">
        <w:rPr>
          <w:sz w:val="20"/>
        </w:rPr>
        <w:t>Los hombres usaron al modo de los conquistadores trasandino</w:t>
      </w:r>
      <w:r w:rsidR="009E6A79" w:rsidRPr="009E6A79">
        <w:rPr>
          <w:sz w:val="20"/>
        </w:rPr>
        <w:t>s</w:t>
      </w:r>
      <w:r w:rsidRPr="009E6A79">
        <w:rPr>
          <w:sz w:val="20"/>
        </w:rPr>
        <w:t>, jubones llanos, o sea vestiduras ceñidas desde los hombros hasta la cintura, y a p</w:t>
      </w:r>
      <w:r w:rsidR="00E4796E" w:rsidRPr="009E6A79">
        <w:rPr>
          <w:sz w:val="20"/>
        </w:rPr>
        <w:t>artir de 1596, esas mismas prend</w:t>
      </w:r>
      <w:r w:rsidRPr="009E6A79">
        <w:rPr>
          <w:sz w:val="20"/>
        </w:rPr>
        <w:t>as “estofadas”, esto es labradas a manera de un bordado con labores en la superficie y gorgueras de lienzo plegado.</w:t>
      </w:r>
    </w:p>
    <w:p w:rsidR="00D906B3" w:rsidRPr="009E6A79" w:rsidRDefault="00D906B3" w:rsidP="00E4796E">
      <w:pPr>
        <w:jc w:val="both"/>
        <w:rPr>
          <w:sz w:val="20"/>
        </w:rPr>
      </w:pPr>
      <w:r w:rsidRPr="009E6A79">
        <w:rPr>
          <w:sz w:val="20"/>
        </w:rPr>
        <w:t xml:space="preserve">En el </w:t>
      </w:r>
      <w:r w:rsidR="009E6A79" w:rsidRPr="009E6A79">
        <w:rPr>
          <w:sz w:val="20"/>
        </w:rPr>
        <w:t>vestuario</w:t>
      </w:r>
      <w:r w:rsidRPr="009E6A79">
        <w:rPr>
          <w:sz w:val="20"/>
        </w:rPr>
        <w:t xml:space="preserve"> femenino dominó la saya o la basquiña, vestido recogido en la cintura, que caía hasta los pies. En 1604, apareció el manto de </w:t>
      </w:r>
      <w:r w:rsidRPr="009E6A79">
        <w:rPr>
          <w:i/>
          <w:sz w:val="20"/>
        </w:rPr>
        <w:t>soplillo</w:t>
      </w:r>
      <w:r w:rsidRPr="009E6A79">
        <w:rPr>
          <w:sz w:val="20"/>
        </w:rPr>
        <w:t>, confeccionado de tafetán delgado semitransparente, que subsistirá hasta el fin de la colonia.</w:t>
      </w:r>
    </w:p>
    <w:p w:rsidR="00D906B3" w:rsidRPr="009E6A79" w:rsidRDefault="00D906B3" w:rsidP="00E4796E">
      <w:pPr>
        <w:jc w:val="both"/>
        <w:rPr>
          <w:sz w:val="20"/>
        </w:rPr>
      </w:pPr>
      <w:r w:rsidRPr="009E6A79">
        <w:rPr>
          <w:sz w:val="20"/>
        </w:rPr>
        <w:t>Las primeras noticias de las mantillas con que las damas se cubren su  cabeza, corresponden al año 1617. Esta prenda sería por lo general de terciopelo azul de España, con franjas, aunque las había también de lana, paño y seda con o sin encajes.</w:t>
      </w:r>
    </w:p>
    <w:p w:rsidR="00D906B3" w:rsidRPr="009E6A79" w:rsidRDefault="00D906B3" w:rsidP="00E4796E">
      <w:pPr>
        <w:jc w:val="both"/>
        <w:rPr>
          <w:sz w:val="20"/>
        </w:rPr>
      </w:pPr>
      <w:r w:rsidRPr="009E6A79">
        <w:rPr>
          <w:sz w:val="20"/>
        </w:rPr>
        <w:t xml:space="preserve">En cambio, la vestimenta rural, era muy diferente. La gente del campo, aunque compuestas la mayor parte de españoles o de su mezcla  con el </w:t>
      </w:r>
      <w:proofErr w:type="spellStart"/>
      <w:r w:rsidRPr="009E6A79">
        <w:rPr>
          <w:sz w:val="20"/>
        </w:rPr>
        <w:t>huarpe</w:t>
      </w:r>
      <w:proofErr w:type="spellEnd"/>
      <w:r w:rsidRPr="009E6A79">
        <w:rPr>
          <w:sz w:val="20"/>
        </w:rPr>
        <w:t xml:space="preserve">, tenían sus trajes especiales. Los hombres usaban el </w:t>
      </w:r>
      <w:r w:rsidRPr="009E6A79">
        <w:rPr>
          <w:i/>
          <w:sz w:val="20"/>
        </w:rPr>
        <w:t>chiripá</w:t>
      </w:r>
      <w:r w:rsidRPr="009E6A79">
        <w:rPr>
          <w:sz w:val="20"/>
        </w:rPr>
        <w:t xml:space="preserve">, el </w:t>
      </w:r>
      <w:r w:rsidRPr="009E6A79">
        <w:rPr>
          <w:i/>
          <w:sz w:val="20"/>
        </w:rPr>
        <w:t>poncho</w:t>
      </w:r>
      <w:r w:rsidRPr="009E6A79">
        <w:rPr>
          <w:sz w:val="20"/>
        </w:rPr>
        <w:t xml:space="preserve">, las </w:t>
      </w:r>
      <w:r w:rsidRPr="009E6A79">
        <w:rPr>
          <w:i/>
          <w:sz w:val="20"/>
        </w:rPr>
        <w:t xml:space="preserve">ojotas </w:t>
      </w:r>
      <w:r w:rsidRPr="009E6A79">
        <w:rPr>
          <w:sz w:val="20"/>
        </w:rPr>
        <w:t>y grandes sombreros; las mujeres vestían con género de colores vistosos.</w:t>
      </w:r>
    </w:p>
    <w:p w:rsidR="00E4796E" w:rsidRDefault="00E4796E" w:rsidP="00A351F6"/>
    <w:p w:rsidR="000A260F" w:rsidRPr="009E6A79" w:rsidRDefault="00E4796E" w:rsidP="00A351F6">
      <w:pPr>
        <w:rPr>
          <w:sz w:val="16"/>
          <w:u w:val="single"/>
        </w:rPr>
      </w:pPr>
      <w:r w:rsidRPr="009E6A79">
        <w:rPr>
          <w:sz w:val="16"/>
          <w:u w:val="single"/>
        </w:rPr>
        <w:t>Bibliografía utilizada:</w:t>
      </w:r>
    </w:p>
    <w:p w:rsidR="00E4796E" w:rsidRPr="009E6A79" w:rsidRDefault="00E4796E" w:rsidP="00E4796E">
      <w:pPr>
        <w:rPr>
          <w:sz w:val="16"/>
        </w:rPr>
      </w:pPr>
      <w:r w:rsidRPr="009E6A79">
        <w:rPr>
          <w:sz w:val="16"/>
        </w:rPr>
        <w:t xml:space="preserve">1. </w:t>
      </w:r>
      <w:proofErr w:type="spellStart"/>
      <w:r w:rsidRPr="009E6A79">
        <w:rPr>
          <w:sz w:val="16"/>
        </w:rPr>
        <w:t>Mó</w:t>
      </w:r>
      <w:proofErr w:type="spellEnd"/>
      <w:r w:rsidRPr="009E6A79">
        <w:rPr>
          <w:sz w:val="16"/>
        </w:rPr>
        <w:t>, F. F.: Cosas de San Juan, T. IV.</w:t>
      </w:r>
    </w:p>
    <w:p w:rsidR="00E4796E" w:rsidRPr="009E6A79" w:rsidRDefault="00E4796E" w:rsidP="00A351F6">
      <w:pPr>
        <w:rPr>
          <w:sz w:val="16"/>
        </w:rPr>
      </w:pPr>
      <w:r w:rsidRPr="009E6A79">
        <w:rPr>
          <w:sz w:val="16"/>
        </w:rPr>
        <w:t xml:space="preserve">2. </w:t>
      </w:r>
      <w:r w:rsidRPr="009E6A79">
        <w:rPr>
          <w:sz w:val="16"/>
        </w:rPr>
        <w:t>Rodríguez, N. y otros: Nueva Historia de San Juan.</w:t>
      </w:r>
    </w:p>
    <w:p w:rsidR="00E4796E" w:rsidRPr="009E6A79" w:rsidRDefault="00E4796E" w:rsidP="00A351F6">
      <w:pPr>
        <w:pBdr>
          <w:bottom w:val="single" w:sz="6" w:space="1" w:color="auto"/>
        </w:pBdr>
        <w:rPr>
          <w:sz w:val="16"/>
        </w:rPr>
      </w:pPr>
      <w:r w:rsidRPr="009E6A79">
        <w:rPr>
          <w:sz w:val="16"/>
        </w:rPr>
        <w:t>3. Videla, H.: Historia de San Juan, T. I.</w:t>
      </w:r>
    </w:p>
    <w:p w:rsidR="009E6A79" w:rsidRDefault="009E6A79" w:rsidP="00A351F6">
      <w:pPr>
        <w:pBdr>
          <w:bottom w:val="single" w:sz="6" w:space="1" w:color="auto"/>
        </w:pBdr>
        <w:rPr>
          <w:sz w:val="20"/>
        </w:rPr>
      </w:pPr>
    </w:p>
    <w:p w:rsidR="00E4796E" w:rsidRDefault="00E4796E" w:rsidP="00A351F6">
      <w:pPr>
        <w:rPr>
          <w:sz w:val="20"/>
        </w:rPr>
      </w:pPr>
    </w:p>
    <w:p w:rsidR="00E4796E" w:rsidRPr="00E4796E" w:rsidRDefault="00E4796E" w:rsidP="00A351F6">
      <w:pPr>
        <w:rPr>
          <w:b/>
          <w:sz w:val="20"/>
        </w:rPr>
      </w:pPr>
      <w:r w:rsidRPr="00E4796E">
        <w:rPr>
          <w:b/>
          <w:sz w:val="20"/>
        </w:rPr>
        <w:t>Actividades:</w:t>
      </w:r>
    </w:p>
    <w:p w:rsidR="00E4796E" w:rsidRDefault="00E4796E" w:rsidP="00A351F6">
      <w:pPr>
        <w:rPr>
          <w:sz w:val="20"/>
        </w:rPr>
      </w:pPr>
      <w:r>
        <w:rPr>
          <w:sz w:val="20"/>
        </w:rPr>
        <w:t>1. En tu opinión, lo relatado por el cronista Damián Hudson es una mirada positiva o negativa de la rutina de los sanjuaninos de la época colonial. Justifica tu respuesta.</w:t>
      </w:r>
    </w:p>
    <w:p w:rsidR="00E4796E" w:rsidRDefault="00E4796E" w:rsidP="00A351F6">
      <w:pPr>
        <w:rPr>
          <w:sz w:val="20"/>
        </w:rPr>
      </w:pPr>
      <w:r>
        <w:rPr>
          <w:sz w:val="20"/>
        </w:rPr>
        <w:t xml:space="preserve">2. </w:t>
      </w:r>
      <w:r w:rsidR="009E6A79">
        <w:rPr>
          <w:sz w:val="20"/>
        </w:rPr>
        <w:t>Describe alguna de las principales fiestas, religiosas, sociales o de juegos.</w:t>
      </w:r>
    </w:p>
    <w:p w:rsidR="009E6A79" w:rsidRDefault="009E6A79" w:rsidP="00A351F6">
      <w:pPr>
        <w:rPr>
          <w:sz w:val="20"/>
        </w:rPr>
      </w:pPr>
      <w:r>
        <w:rPr>
          <w:sz w:val="20"/>
        </w:rPr>
        <w:t>3. ¿Dónde eran los principales lugares de veraneo?</w:t>
      </w:r>
    </w:p>
    <w:p w:rsidR="009E6A79" w:rsidRDefault="009E6A79" w:rsidP="00A351F6">
      <w:pPr>
        <w:rPr>
          <w:sz w:val="20"/>
        </w:rPr>
      </w:pPr>
      <w:r>
        <w:rPr>
          <w:sz w:val="20"/>
        </w:rPr>
        <w:t>4. Menciona algún aspecto de la vida cotidiana que te haya llamado la atención.</w:t>
      </w:r>
    </w:p>
    <w:p w:rsidR="009E6A79" w:rsidRDefault="009E6A79" w:rsidP="00A351F6">
      <w:pPr>
        <w:rPr>
          <w:sz w:val="20"/>
        </w:rPr>
      </w:pPr>
      <w:r>
        <w:rPr>
          <w:sz w:val="20"/>
        </w:rPr>
        <w:t>5. ¿Qué significa que la vida colonial familiar era “patriarcal”?</w:t>
      </w:r>
    </w:p>
    <w:p w:rsidR="009E6A79" w:rsidRPr="00E4796E" w:rsidRDefault="009E6A79" w:rsidP="00A351F6">
      <w:pPr>
        <w:rPr>
          <w:sz w:val="20"/>
        </w:rPr>
      </w:pPr>
      <w:r>
        <w:rPr>
          <w:sz w:val="20"/>
        </w:rPr>
        <w:t>6. Investiga los términos que no conoces relacionados con la vestimenta. Luego, haz un glosario.</w:t>
      </w:r>
      <w:bookmarkStart w:id="0" w:name="_GoBack"/>
      <w:bookmarkEnd w:id="0"/>
    </w:p>
    <w:p w:rsidR="00994652" w:rsidRPr="00A351F6" w:rsidRDefault="00994652" w:rsidP="00A351F6"/>
    <w:sectPr w:rsidR="00994652" w:rsidRPr="00A351F6" w:rsidSect="009E6A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te">
    <w:altName w:val="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F9"/>
    <w:rsid w:val="000A260F"/>
    <w:rsid w:val="002558B5"/>
    <w:rsid w:val="003337DB"/>
    <w:rsid w:val="00364F79"/>
    <w:rsid w:val="00537997"/>
    <w:rsid w:val="006526B6"/>
    <w:rsid w:val="009366A5"/>
    <w:rsid w:val="00936E82"/>
    <w:rsid w:val="00994652"/>
    <w:rsid w:val="009E6A79"/>
    <w:rsid w:val="00A351F6"/>
    <w:rsid w:val="00B053F9"/>
    <w:rsid w:val="00B25659"/>
    <w:rsid w:val="00D906B3"/>
    <w:rsid w:val="00E4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F9"/>
    <w:pPr>
      <w:spacing w:after="160" w:line="25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053F9"/>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053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3F9"/>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F9"/>
    <w:pPr>
      <w:spacing w:after="160" w:line="25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053F9"/>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053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3F9"/>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1097</Words>
  <Characters>6039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Contreras</dc:creator>
  <cp:lastModifiedBy>Emiliano Contreras</cp:lastModifiedBy>
  <cp:revision>3</cp:revision>
  <dcterms:created xsi:type="dcterms:W3CDTF">2023-04-28T01:30:00Z</dcterms:created>
  <dcterms:modified xsi:type="dcterms:W3CDTF">2023-04-29T22:48:00Z</dcterms:modified>
</cp:coreProperties>
</file>