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M</w:t>
      </w:r>
      <w:r w:rsidDel="00000000" w:rsidR="00000000" w:rsidRPr="00000000">
        <w:rPr>
          <w:rFonts w:ascii="Arial" w:cs="Arial" w:eastAsia="Arial" w:hAnsi="Arial"/>
          <w:b w:val="1"/>
          <w:sz w:val="24"/>
          <w:szCs w:val="24"/>
          <w:rtl w:val="0"/>
        </w:rPr>
        <w:t xml:space="preserve">ARTIN ECHEGARAY, MARIA CECILIA</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57.777.651</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04/03/2019</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w:t>
      </w:r>
      <w:r w:rsidDel="00000000" w:rsidR="00000000" w:rsidRPr="00000000">
        <w:rPr>
          <w:rFonts w:ascii="Arial" w:cs="Arial" w:eastAsia="Arial" w:hAnsi="Arial"/>
          <w:b w:val="1"/>
          <w:sz w:val="24"/>
          <w:szCs w:val="24"/>
          <w:rtl w:val="0"/>
        </w:rPr>
        <w:t xml:space="preserve">Belén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color w:val="000000"/>
          <w:sz w:val="24"/>
          <w:szCs w:val="24"/>
          <w:rtl w:val="0"/>
        </w:rPr>
        <w:t xml:space="preserve">A</w:t>
      </w:r>
      <w:r w:rsidDel="00000000" w:rsidR="00000000" w:rsidRPr="00000000">
        <w:rPr>
          <w:rFonts w:ascii="Arial" w:cs="Arial" w:eastAsia="Arial" w:hAnsi="Arial"/>
          <w:b w:val="1"/>
          <w:sz w:val="24"/>
          <w:szCs w:val="24"/>
          <w:rtl w:val="0"/>
        </w:rPr>
        <w:t xml:space="preserve">”</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r w:rsidDel="00000000" w:rsidR="00000000" w:rsidRPr="00000000">
        <w:rPr>
          <w:rtl w:val="0"/>
        </w:rPr>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progresivo; en dicha etapa, utilizó como objeto de apego, el muñeco que elaboró su familia en el taller de padres. </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rápidamente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Acepta, en ocasiones busca, y disfruta de ser mimada por ella. En relación a sus pares estableció vínculos con la mayoría, pero generó algunos más estrechos, compartiendo tiempo, actividades y juegos con Agustín, Angela y Mateo.</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w:t>
      </w:r>
      <w:r w:rsidDel="00000000" w:rsidR="00000000" w:rsidRPr="00000000">
        <w:rPr>
          <w:rFonts w:ascii="Arial" w:cs="Arial" w:eastAsia="Arial" w:hAnsi="Arial"/>
          <w:sz w:val="24"/>
          <w:szCs w:val="24"/>
          <w:rtl w:val="0"/>
        </w:rPr>
        <w:t xml:space="preserve">familiarizo</w:t>
      </w:r>
      <w:r w:rsidDel="00000000" w:rsidR="00000000" w:rsidRPr="00000000">
        <w:rPr>
          <w:rFonts w:ascii="Arial" w:cs="Arial" w:eastAsia="Arial" w:hAnsi="Arial"/>
          <w:sz w:val="24"/>
          <w:szCs w:val="24"/>
          <w:rtl w:val="0"/>
        </w:rPr>
        <w:t xml:space="preserve"> rápidamente con los diferentes espacios, utilizándolos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Confía en sus posibilidades, disfrutando de las diferentes propuestas, aunque en ocasiones, ante situaciones y personas nuevas se muestra con una actitud tímida. Por lo general, persevera en la realización de actividades que sean de su agrado, de lo contrario; se distrae y necesita de recordatorios por parte del docente para continuar.</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 y/o puesta de límites, ya que ante los mismos se expresa con llantos, gritos o enojo.</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actividades motrices y corporales. Puede cuidar materiales, objetos, y juguetes compartidos.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al grupo de pares progresivamente, disfrutando jugar con ellos. En ocasiones se manifiesta como líder, y en otros momentos, como seguidora de propuestas ajenas.</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 en ocasiones es necesario que se le repitan consignas o pautas de comportamiento.</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sus compañeros.</w:t>
      </w:r>
    </w:p>
    <w:p w:rsidR="00000000" w:rsidDel="00000000" w:rsidP="00000000" w:rsidRDefault="00000000" w:rsidRPr="00000000" w14:paraId="00000032">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4">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Cecilia participa en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6">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7">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8">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a través de palabras, armando frases completas y acrecentando cada vez más su vocabulario.</w:t>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interesada y atenta en la escucha de la lectura de cuentos. Se ha iniciado en la lectura y la participación activa sobre lo leído en los cuentos, a partir de imágenes.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Goza de la exploración de materiales, colores y texturas; manifestando gran capacidad y entusiasmo para probar y experimentar. Se expresa en la bidimensión, realizando collages y pintando con esmero; y también se expresa en la tridimensión modelando con masas y construyendo con diversos materiales.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respeta su cuerpo en los espacios en los cuales se mueve.</w:t>
      </w:r>
    </w:p>
    <w:p w:rsidR="00000000" w:rsidDel="00000000" w:rsidP="00000000" w:rsidRDefault="00000000" w:rsidRPr="00000000" w14:paraId="0000003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Puede expresarse y responder corporalmente a la consigna del docente, y le agrega maneras particulares de interpretarlas.</w:t>
      </w:r>
    </w:p>
    <w:p w:rsidR="00000000" w:rsidDel="00000000" w:rsidP="00000000" w:rsidRDefault="00000000" w:rsidRPr="00000000" w14:paraId="0000003F">
      <w:pPr>
        <w:spacing w:after="2" w:before="0" w:line="240"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0">
      <w:pPr>
        <w:spacing w:after="221"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1">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2">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3">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4">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Explora y describe hábilmente las características de los objetos: color, forma, textura. Disfruta al ejercer diversos modos de acción sobre los mismos como meter, sacar, rasgar, trasvasar.</w:t>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puede nombrarlas, señalarlas en su cuerpo y en imágenes. Mantiene una actitud participativa en las conversaciones sobre los hábitos de cuidado del cuerpo e higiene personal.</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 la maratón y cumpleaños de María Auxiliadora, y el taller de comidas típicas de la época colonial.</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 de diferentes juegos, manifestando una actitud positiva y entusiasta. Regularmente logra compartir juguetes. Sus juegos preferidos son los de dramatización, madurez intelectual y motora; y los de persecución con sus pares. Siempre busca la compañía de otros para los momentos lúdicos.</w:t>
      </w:r>
    </w:p>
    <w:p w:rsidR="00000000" w:rsidDel="00000000" w:rsidP="00000000" w:rsidRDefault="00000000" w:rsidRPr="00000000" w14:paraId="00000049">
      <w:pPr>
        <w:spacing w:after="2" w:line="449" w:lineRule="auto"/>
        <w:ind w:right="844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A">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B">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C">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D">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73</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Martin Echegaray, Maria Cecilia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eYnaOlh6iP+Wqw/QHAcdq8tWA==">CgMxLjAyCGguZ2pkZ3hzOAByITFXSjR6RUxsZDFwRXVRVHFJNVpKSHQ3M2szNGhpd1dmNg==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