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99C" w:rsidRPr="006B499C" w:rsidRDefault="006B499C">
      <w:pPr>
        <w:rPr>
          <w:sz w:val="56"/>
          <w:szCs w:val="56"/>
        </w:rPr>
      </w:pPr>
      <w:r w:rsidRPr="006B499C">
        <w:rPr>
          <w:sz w:val="56"/>
          <w:szCs w:val="56"/>
        </w:rPr>
        <w:t xml:space="preserve">            </w:t>
      </w:r>
      <w:r>
        <w:rPr>
          <w:sz w:val="56"/>
          <w:szCs w:val="56"/>
        </w:rPr>
        <w:t xml:space="preserve">       </w:t>
      </w:r>
      <w:r w:rsidRPr="006B499C">
        <w:rPr>
          <w:sz w:val="56"/>
          <w:szCs w:val="56"/>
        </w:rPr>
        <w:t xml:space="preserve"> </w:t>
      </w:r>
      <w:proofErr w:type="spellStart"/>
      <w:r w:rsidRPr="006B499C">
        <w:rPr>
          <w:sz w:val="56"/>
          <w:szCs w:val="56"/>
        </w:rPr>
        <w:t>Opinion</w:t>
      </w:r>
      <w:proofErr w:type="spellEnd"/>
      <w:r w:rsidRPr="006B499C">
        <w:rPr>
          <w:sz w:val="56"/>
          <w:szCs w:val="56"/>
        </w:rPr>
        <w:t xml:space="preserve"> personal</w:t>
      </w:r>
    </w:p>
    <w:p w:rsidR="006B499C" w:rsidRDefault="006B499C"/>
    <w:p w:rsidR="006B499C" w:rsidRPr="006B499C" w:rsidRDefault="006B499C">
      <w:pPr>
        <w:rPr>
          <w:sz w:val="36"/>
          <w:szCs w:val="36"/>
        </w:rPr>
      </w:pPr>
    </w:p>
    <w:p w:rsidR="00604D9F" w:rsidRDefault="006B499C">
      <w:pPr>
        <w:rPr>
          <w:sz w:val="36"/>
          <w:szCs w:val="36"/>
        </w:rPr>
      </w:pPr>
      <w:r w:rsidRPr="006B499C">
        <w:rPr>
          <w:sz w:val="36"/>
          <w:szCs w:val="36"/>
        </w:rPr>
        <w:t xml:space="preserve">Para </w:t>
      </w:r>
      <w:proofErr w:type="spellStart"/>
      <w:r w:rsidRPr="006B499C">
        <w:rPr>
          <w:sz w:val="36"/>
          <w:szCs w:val="36"/>
        </w:rPr>
        <w:t>mi</w:t>
      </w:r>
      <w:proofErr w:type="spellEnd"/>
      <w:r w:rsidRPr="006B499C">
        <w:rPr>
          <w:sz w:val="36"/>
          <w:szCs w:val="36"/>
        </w:rPr>
        <w:t xml:space="preserve"> </w:t>
      </w:r>
      <w:r w:rsidR="00014D2D" w:rsidRPr="006B499C">
        <w:rPr>
          <w:sz w:val="36"/>
          <w:szCs w:val="36"/>
        </w:rPr>
        <w:t>La Cultura de Paz va más allá de la ausencia de guerra, siendo un compromiso activo y compartido para resolver problemas sin violencia. Su enfoque en valores como la tolerancia y la cooperación busca transformar rivalidades en colaboración constructiva. La educación desempeña un papel fundamental al inculcar estos principios y desafiar la cultura arraigada de violencia. La búsqueda de paz no se limita a zonas en conflicto; debe abarcar todos los aspectos de la vida, desde la educación hasta los medios. Cultivar una convivencia respetuosa y equitativa requiere medidas concretas y creatividad en la resolución de conflictos. La Cultura de Paz es un llamado a transformar nuestras sociedades y promover una coexistencia basada en el entendimiento en lugar de la rivalidad.</w:t>
      </w:r>
    </w:p>
    <w:p w:rsidR="00537A3C" w:rsidRDefault="00537A3C">
      <w:pPr>
        <w:rPr>
          <w:sz w:val="36"/>
          <w:szCs w:val="36"/>
        </w:rPr>
      </w:pPr>
    </w:p>
    <w:p w:rsidR="00537A3C" w:rsidRPr="006B499C" w:rsidRDefault="00537A3C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1.5pt">
            <v:imagedata r:id="rId4" o:title="clases de apoyo_20230806_223654_0000"/>
          </v:shape>
        </w:pict>
      </w:r>
    </w:p>
    <w:sectPr w:rsidR="00537A3C" w:rsidRPr="006B49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2D"/>
    <w:rsid w:val="00014D2D"/>
    <w:rsid w:val="00537A3C"/>
    <w:rsid w:val="00604D9F"/>
    <w:rsid w:val="006B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B20AD"/>
  <w15:chartTrackingRefBased/>
  <w15:docId w15:val="{07A6FD33-E381-4C53-8C68-84D1CE61B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2023-08-07T23:14:00Z</dcterms:created>
  <dcterms:modified xsi:type="dcterms:W3CDTF">2023-08-08T01:24:00Z</dcterms:modified>
</cp:coreProperties>
</file>