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COLEGIO B. A. HOUSSAY</w:t>
      </w:r>
    </w:p>
    <w:p w:rsidR="00000000" w:rsidDel="00000000" w:rsidP="00000000" w:rsidRDefault="00000000" w:rsidRPr="00000000" w14:paraId="00000002">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CURSO: SEXTO AÑO</w:t>
      </w:r>
    </w:p>
    <w:p w:rsidR="00000000" w:rsidDel="00000000" w:rsidP="00000000" w:rsidRDefault="00000000" w:rsidRPr="00000000" w14:paraId="00000003">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ASIGNATURA: LENGUA Y LITERATURA</w:t>
      </w:r>
    </w:p>
    <w:p w:rsidR="00000000" w:rsidDel="00000000" w:rsidP="00000000" w:rsidRDefault="00000000" w:rsidRPr="00000000" w14:paraId="00000004">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PROFESORA: BÁRBARA SORIA </w:t>
      </w:r>
    </w:p>
    <w:p w:rsidR="00000000" w:rsidDel="00000000" w:rsidP="00000000" w:rsidRDefault="00000000" w:rsidRPr="00000000" w14:paraId="00000005">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6">
      <w:pPr>
        <w:jc w:val="center"/>
        <w:rPr>
          <w:rFonts w:ascii="Georgia" w:cs="Georgia" w:eastAsia="Georgia" w:hAnsi="Georgia"/>
          <w:b w:val="1"/>
          <w:i w:val="1"/>
          <w:sz w:val="24"/>
          <w:szCs w:val="24"/>
          <w:u w:val="single"/>
        </w:rPr>
      </w:pPr>
      <w:r w:rsidDel="00000000" w:rsidR="00000000" w:rsidRPr="00000000">
        <w:rPr>
          <w:rFonts w:ascii="Georgia" w:cs="Georgia" w:eastAsia="Georgia" w:hAnsi="Georgia"/>
          <w:b w:val="1"/>
          <w:i w:val="1"/>
          <w:sz w:val="24"/>
          <w:szCs w:val="24"/>
          <w:u w:val="single"/>
          <w:rtl w:val="0"/>
        </w:rPr>
        <w:t xml:space="preserve">Aguafuertes porteñas de Roberto Arlt</w:t>
      </w:r>
    </w:p>
    <w:p w:rsidR="00000000" w:rsidDel="00000000" w:rsidP="00000000" w:rsidRDefault="00000000" w:rsidRPr="00000000" w14:paraId="00000007">
      <w:pPr>
        <w:jc w:val="center"/>
        <w:rPr>
          <w:rFonts w:ascii="Georgia" w:cs="Georgia" w:eastAsia="Georgia" w:hAnsi="Georgia"/>
          <w:b w:val="1"/>
          <w:i w:val="1"/>
          <w:sz w:val="24"/>
          <w:szCs w:val="24"/>
          <w:u w:val="single"/>
        </w:rPr>
      </w:pPr>
      <w:r w:rsidDel="00000000" w:rsidR="00000000" w:rsidRPr="00000000">
        <w:rPr>
          <w:rtl w:val="0"/>
        </w:rPr>
      </w:r>
    </w:p>
    <w:p w:rsidR="00000000" w:rsidDel="00000000" w:rsidP="00000000" w:rsidRDefault="00000000" w:rsidRPr="00000000" w14:paraId="00000008">
      <w:pPr>
        <w:spacing w:line="360" w:lineRule="auto"/>
        <w:jc w:val="both"/>
        <w:rPr>
          <w:rFonts w:ascii="Georgia" w:cs="Georgia" w:eastAsia="Georgia" w:hAnsi="Georgia"/>
          <w:sz w:val="24"/>
          <w:szCs w:val="24"/>
          <w:highlight w:val="white"/>
        </w:rPr>
      </w:pPr>
      <w:r w:rsidDel="00000000" w:rsidR="00000000" w:rsidRPr="00000000">
        <w:rPr>
          <w:rFonts w:ascii="Georgia" w:cs="Georgia" w:eastAsia="Georgia" w:hAnsi="Georgia"/>
          <w:b w:val="1"/>
          <w:sz w:val="24"/>
          <w:szCs w:val="24"/>
          <w:rtl w:val="0"/>
        </w:rPr>
        <w:t xml:space="preserve">Aguafuertes porteñas</w:t>
      </w:r>
      <w:r w:rsidDel="00000000" w:rsidR="00000000" w:rsidRPr="00000000">
        <w:rPr>
          <w:rFonts w:ascii="Georgia" w:cs="Georgia" w:eastAsia="Georgia" w:hAnsi="Georgia"/>
          <w:sz w:val="24"/>
          <w:szCs w:val="24"/>
          <w:vertAlign w:val="superscript"/>
          <w:rtl w:val="0"/>
        </w:rPr>
        <w:t xml:space="preserve"> </w:t>
      </w:r>
      <w:r w:rsidDel="00000000" w:rsidR="00000000" w:rsidRPr="00000000">
        <w:rPr>
          <w:rFonts w:ascii="Georgia" w:cs="Georgia" w:eastAsia="Georgia" w:hAnsi="Georgia"/>
          <w:sz w:val="24"/>
          <w:szCs w:val="24"/>
          <w:highlight w:val="white"/>
          <w:rtl w:val="0"/>
        </w:rPr>
        <w:t xml:space="preserve">es un conjunto de artículos literarios escritos por </w:t>
      </w:r>
      <w:hyperlink r:id="rId6">
        <w:r w:rsidDel="00000000" w:rsidR="00000000" w:rsidRPr="00000000">
          <w:rPr>
            <w:rFonts w:ascii="Georgia" w:cs="Georgia" w:eastAsia="Georgia" w:hAnsi="Georgia"/>
            <w:sz w:val="24"/>
            <w:szCs w:val="24"/>
            <w:rtl w:val="0"/>
          </w:rPr>
          <w:t xml:space="preserve">Roberto Arlt</w:t>
        </w:r>
      </w:hyperlink>
      <w:r w:rsidDel="00000000" w:rsidR="00000000" w:rsidRPr="00000000">
        <w:rPr>
          <w:rFonts w:ascii="Georgia" w:cs="Georgia" w:eastAsia="Georgia" w:hAnsi="Georgia"/>
          <w:sz w:val="24"/>
          <w:szCs w:val="24"/>
          <w:highlight w:val="white"/>
          <w:rtl w:val="0"/>
        </w:rPr>
        <w:t xml:space="preserve"> y publicados periódicamente entre 1928 y 1933 en la prensa de Buenos Aires. Algunos fueron publicados en la revista </w:t>
      </w:r>
      <w:hyperlink r:id="rId7">
        <w:r w:rsidDel="00000000" w:rsidR="00000000" w:rsidRPr="00000000">
          <w:rPr>
            <w:rFonts w:ascii="Georgia" w:cs="Georgia" w:eastAsia="Georgia" w:hAnsi="Georgia"/>
            <w:i w:val="1"/>
            <w:sz w:val="24"/>
            <w:szCs w:val="24"/>
            <w:highlight w:val="white"/>
            <w:rtl w:val="0"/>
          </w:rPr>
          <w:t xml:space="preserve">Proa</w:t>
        </w:r>
      </w:hyperlink>
      <w:r w:rsidDel="00000000" w:rsidR="00000000" w:rsidRPr="00000000">
        <w:rPr>
          <w:rFonts w:ascii="Georgia" w:cs="Georgia" w:eastAsia="Georgia" w:hAnsi="Georgia"/>
          <w:sz w:val="24"/>
          <w:szCs w:val="24"/>
          <w:highlight w:val="white"/>
          <w:rtl w:val="0"/>
        </w:rPr>
        <w:t xml:space="preserve">.</w:t>
      </w:r>
    </w:p>
    <w:p w:rsidR="00000000" w:rsidDel="00000000" w:rsidP="00000000" w:rsidRDefault="00000000" w:rsidRPr="00000000" w14:paraId="00000009">
      <w:pPr>
        <w:spacing w:line="360" w:lineRule="auto"/>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El origen del título tiene parentesco pictórico y se refiere a las pequeñas estampas grabadas que alcanzaron ya gran difusión en la época de </w:t>
      </w:r>
      <w:hyperlink r:id="rId8">
        <w:r w:rsidDel="00000000" w:rsidR="00000000" w:rsidRPr="00000000">
          <w:rPr>
            <w:rFonts w:ascii="Georgia" w:cs="Georgia" w:eastAsia="Georgia" w:hAnsi="Georgia"/>
            <w:sz w:val="24"/>
            <w:szCs w:val="24"/>
            <w:highlight w:val="white"/>
            <w:rtl w:val="0"/>
          </w:rPr>
          <w:t xml:space="preserve">Durero</w:t>
        </w:r>
      </w:hyperlink>
      <w:r w:rsidDel="00000000" w:rsidR="00000000" w:rsidRPr="00000000">
        <w:rPr>
          <w:rFonts w:ascii="Georgia" w:cs="Georgia" w:eastAsia="Georgia" w:hAnsi="Georgia"/>
          <w:sz w:val="24"/>
          <w:szCs w:val="24"/>
          <w:highlight w:val="white"/>
          <w:rtl w:val="0"/>
        </w:rPr>
        <w:t xml:space="preserve"> y </w:t>
      </w:r>
      <w:hyperlink r:id="rId9">
        <w:r w:rsidDel="00000000" w:rsidR="00000000" w:rsidRPr="00000000">
          <w:rPr>
            <w:rFonts w:ascii="Georgia" w:cs="Georgia" w:eastAsia="Georgia" w:hAnsi="Georgia"/>
            <w:sz w:val="24"/>
            <w:szCs w:val="24"/>
            <w:highlight w:val="white"/>
            <w:rtl w:val="0"/>
          </w:rPr>
          <w:t xml:space="preserve">Rembrandt</w:t>
        </w:r>
      </w:hyperlink>
      <w:r w:rsidDel="00000000" w:rsidR="00000000" w:rsidRPr="00000000">
        <w:rPr>
          <w:rFonts w:ascii="Georgia" w:cs="Georgia" w:eastAsia="Georgia" w:hAnsi="Georgia"/>
          <w:sz w:val="24"/>
          <w:szCs w:val="24"/>
          <w:highlight w:val="white"/>
          <w:rtl w:val="0"/>
        </w:rPr>
        <w:t xml:space="preserve">, en la de </w:t>
      </w:r>
      <w:hyperlink r:id="rId10">
        <w:r w:rsidDel="00000000" w:rsidR="00000000" w:rsidRPr="00000000">
          <w:rPr>
            <w:rFonts w:ascii="Georgia" w:cs="Georgia" w:eastAsia="Georgia" w:hAnsi="Georgia"/>
            <w:sz w:val="24"/>
            <w:szCs w:val="24"/>
            <w:highlight w:val="white"/>
            <w:rtl w:val="0"/>
          </w:rPr>
          <w:t xml:space="preserve">Goya</w:t>
        </w:r>
      </w:hyperlink>
      <w:r w:rsidDel="00000000" w:rsidR="00000000" w:rsidRPr="00000000">
        <w:rPr>
          <w:rFonts w:ascii="Georgia" w:cs="Georgia" w:eastAsia="Georgia" w:hAnsi="Georgia"/>
          <w:sz w:val="24"/>
          <w:szCs w:val="24"/>
          <w:highlight w:val="white"/>
          <w:rtl w:val="0"/>
        </w:rPr>
        <w:t xml:space="preserve"> y en la de los expresionistas alemanes. Arlt tiene la intención de mostrar una realidad fragmentada y de reproducir, a modo fotográfico, un momento concreto.</w:t>
      </w:r>
    </w:p>
    <w:p w:rsidR="00000000" w:rsidDel="00000000" w:rsidP="00000000" w:rsidRDefault="00000000" w:rsidRPr="00000000" w14:paraId="0000000A">
      <w:pPr>
        <w:spacing w:line="360" w:lineRule="auto"/>
        <w:jc w:val="both"/>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Arlt retoma el </w:t>
      </w:r>
      <w:hyperlink r:id="rId11">
        <w:r w:rsidDel="00000000" w:rsidR="00000000" w:rsidRPr="00000000">
          <w:rPr>
            <w:rFonts w:ascii="Georgia" w:cs="Georgia" w:eastAsia="Georgia" w:hAnsi="Georgia"/>
            <w:sz w:val="24"/>
            <w:szCs w:val="24"/>
            <w:highlight w:val="white"/>
            <w:rtl w:val="0"/>
          </w:rPr>
          <w:t xml:space="preserve">artículo o cuadro de costumbres</w:t>
        </w:r>
      </w:hyperlink>
      <w:r w:rsidDel="00000000" w:rsidR="00000000" w:rsidRPr="00000000">
        <w:rPr>
          <w:rFonts w:ascii="Georgia" w:cs="Georgia" w:eastAsia="Georgia" w:hAnsi="Georgia"/>
          <w:sz w:val="24"/>
          <w:szCs w:val="24"/>
          <w:highlight w:val="white"/>
          <w:rtl w:val="0"/>
        </w:rPr>
        <w:t xml:space="preserve">, de amplia trayectoria, en el periodismo argentino, al que le agrega el aporte original de su escritura. Otros críticos señalan además la influencia en estas crónicas de los maestros españoles del género, como </w:t>
      </w:r>
      <w:hyperlink r:id="rId12">
        <w:r w:rsidDel="00000000" w:rsidR="00000000" w:rsidRPr="00000000">
          <w:rPr>
            <w:rFonts w:ascii="Georgia" w:cs="Georgia" w:eastAsia="Georgia" w:hAnsi="Georgia"/>
            <w:sz w:val="24"/>
            <w:szCs w:val="24"/>
            <w:highlight w:val="white"/>
            <w:rtl w:val="0"/>
          </w:rPr>
          <w:t xml:space="preserve">Mariano José de Larra</w:t>
        </w:r>
      </w:hyperlink>
      <w:r w:rsidDel="00000000" w:rsidR="00000000" w:rsidRPr="00000000">
        <w:rPr>
          <w:rFonts w:ascii="Georgia" w:cs="Georgia" w:eastAsia="Georgia" w:hAnsi="Georgia"/>
          <w:sz w:val="24"/>
          <w:szCs w:val="24"/>
          <w:highlight w:val="white"/>
          <w:rtl w:val="0"/>
        </w:rPr>
        <w:t xml:space="preserve">.</w:t>
      </w:r>
    </w:p>
    <w:p w:rsidR="00000000" w:rsidDel="00000000" w:rsidP="00000000" w:rsidRDefault="00000000" w:rsidRPr="00000000" w14:paraId="0000000B">
      <w:pPr>
        <w:spacing w:line="360" w:lineRule="auto"/>
        <w:jc w:val="both"/>
        <w:rPr>
          <w:color w:val="202122"/>
          <w:sz w:val="24"/>
          <w:szCs w:val="24"/>
          <w:highlight w:val="white"/>
        </w:rPr>
      </w:pPr>
      <w:r w:rsidDel="00000000" w:rsidR="00000000" w:rsidRPr="00000000">
        <w:rPr>
          <w:rFonts w:ascii="Georgia" w:cs="Georgia" w:eastAsia="Georgia" w:hAnsi="Georgia"/>
          <w:sz w:val="24"/>
          <w:szCs w:val="24"/>
          <w:highlight w:val="white"/>
          <w:rtl w:val="0"/>
        </w:rPr>
        <w:t xml:space="preserve">La intención principal de estas </w:t>
      </w:r>
      <w:r w:rsidDel="00000000" w:rsidR="00000000" w:rsidRPr="00000000">
        <w:rPr>
          <w:rFonts w:ascii="Georgia" w:cs="Georgia" w:eastAsia="Georgia" w:hAnsi="Georgia"/>
          <w:i w:val="1"/>
          <w:sz w:val="24"/>
          <w:szCs w:val="24"/>
          <w:highlight w:val="white"/>
          <w:rtl w:val="0"/>
        </w:rPr>
        <w:t xml:space="preserve">Aguafuertes Porteñas</w:t>
      </w:r>
      <w:r w:rsidDel="00000000" w:rsidR="00000000" w:rsidRPr="00000000">
        <w:rPr>
          <w:rFonts w:ascii="Georgia" w:cs="Georgia" w:eastAsia="Georgia" w:hAnsi="Georgia"/>
          <w:sz w:val="24"/>
          <w:szCs w:val="24"/>
          <w:highlight w:val="white"/>
          <w:rtl w:val="0"/>
        </w:rPr>
        <w:t xml:space="preserve"> es el análisis y comentario de los cambios que va sufriendo </w:t>
      </w:r>
      <w:hyperlink r:id="rId13">
        <w:r w:rsidDel="00000000" w:rsidR="00000000" w:rsidRPr="00000000">
          <w:rPr>
            <w:rFonts w:ascii="Georgia" w:cs="Georgia" w:eastAsia="Georgia" w:hAnsi="Georgia"/>
            <w:sz w:val="24"/>
            <w:szCs w:val="24"/>
            <w:highlight w:val="white"/>
            <w:rtl w:val="0"/>
          </w:rPr>
          <w:t xml:space="preserve">Buenos Aires</w:t>
        </w:r>
      </w:hyperlink>
      <w:r w:rsidDel="00000000" w:rsidR="00000000" w:rsidRPr="00000000">
        <w:rPr>
          <w:rFonts w:ascii="Georgia" w:cs="Georgia" w:eastAsia="Georgia" w:hAnsi="Georgia"/>
          <w:sz w:val="24"/>
          <w:szCs w:val="24"/>
          <w:highlight w:val="white"/>
          <w:rtl w:val="0"/>
        </w:rPr>
        <w:t xml:space="preserve">. Constantemente pone en cuestión la idea de progreso con un componente </w:t>
      </w:r>
      <w:hyperlink r:id="rId14">
        <w:r w:rsidDel="00000000" w:rsidR="00000000" w:rsidRPr="00000000">
          <w:rPr>
            <w:rFonts w:ascii="Georgia" w:cs="Georgia" w:eastAsia="Georgia" w:hAnsi="Georgia"/>
            <w:sz w:val="24"/>
            <w:szCs w:val="24"/>
            <w:highlight w:val="white"/>
            <w:rtl w:val="0"/>
          </w:rPr>
          <w:t xml:space="preserve">existencialista</w:t>
        </w:r>
      </w:hyperlink>
      <w:r w:rsidDel="00000000" w:rsidR="00000000" w:rsidRPr="00000000">
        <w:rPr>
          <w:rFonts w:ascii="Georgia" w:cs="Georgia" w:eastAsia="Georgia" w:hAnsi="Georgia"/>
          <w:sz w:val="24"/>
          <w:szCs w:val="24"/>
          <w:highlight w:val="white"/>
          <w:rtl w:val="0"/>
        </w:rPr>
        <w:t xml:space="preserve">. Por ejemplo, en uno de estos Aguafuertes se trata la generalización de la luz eléctrica en la ciudad y duda de su utilidad por no ayudar directamente al entendimiento. Otros tópicos abordados son la crítica social ("Padres negreros", "Aristocracia de barrio"), la lengua ("El idioma de los argentinos") y hasta las dificultades para escribir</w:t>
      </w:r>
      <w:r w:rsidDel="00000000" w:rsidR="00000000" w:rsidRPr="00000000">
        <w:rPr>
          <w:color w:val="202122"/>
          <w:sz w:val="24"/>
          <w:szCs w:val="24"/>
          <w:highlight w:val="white"/>
          <w:rtl w:val="0"/>
        </w:rPr>
        <w:t xml:space="preserve">.</w:t>
      </w:r>
    </w:p>
    <w:p w:rsidR="00000000" w:rsidDel="00000000" w:rsidP="00000000" w:rsidRDefault="00000000" w:rsidRPr="00000000" w14:paraId="0000000C">
      <w:pPr>
        <w:spacing w:line="360" w:lineRule="auto"/>
        <w:jc w:val="both"/>
        <w:rPr>
          <w:rFonts w:ascii="Georgia" w:cs="Georgia" w:eastAsia="Georgia" w:hAnsi="Georgia"/>
          <w:color w:val="202122"/>
          <w:sz w:val="24"/>
          <w:szCs w:val="24"/>
          <w:highlight w:val="white"/>
        </w:rPr>
      </w:pPr>
      <w:r w:rsidDel="00000000" w:rsidR="00000000" w:rsidRPr="00000000">
        <w:rPr>
          <w:rFonts w:ascii="Georgia" w:cs="Georgia" w:eastAsia="Georgia" w:hAnsi="Georgia"/>
          <w:color w:val="202122"/>
          <w:sz w:val="24"/>
          <w:szCs w:val="24"/>
          <w:highlight w:val="white"/>
          <w:rtl w:val="0"/>
        </w:rPr>
        <w:t xml:space="preserve">En cuanto al estilo de las aguafuertes se destaca el tono improvisado y coloquial que dan cuenta de su “prontitud de ingenio” que acertaba aún en la escritura automática, sin ensayos previos ni posteriores correcciones, según lo requería la premura de la expedita labor periodística. Por otro lado, su retórica se basaba en la sensibilidad para la captación de lo popular y en su característico lenguaje que desgarra la expresión, que tuerce la palabra. </w:t>
      </w:r>
    </w:p>
    <w:p w:rsidR="00000000" w:rsidDel="00000000" w:rsidP="00000000" w:rsidRDefault="00000000" w:rsidRPr="00000000" w14:paraId="0000000D">
      <w:pPr>
        <w:spacing w:line="360" w:lineRule="auto"/>
        <w:jc w:val="both"/>
        <w:rPr>
          <w:rFonts w:ascii="Georgia" w:cs="Georgia" w:eastAsia="Georgia" w:hAnsi="Georgia"/>
          <w:color w:val="202122"/>
          <w:sz w:val="24"/>
          <w:szCs w:val="24"/>
          <w:highlight w:val="white"/>
        </w:rPr>
      </w:pPr>
      <w:r w:rsidDel="00000000" w:rsidR="00000000" w:rsidRPr="00000000">
        <w:rPr>
          <w:rFonts w:ascii="Georgia" w:cs="Georgia" w:eastAsia="Georgia" w:hAnsi="Georgia"/>
          <w:color w:val="202122"/>
          <w:sz w:val="24"/>
          <w:szCs w:val="24"/>
          <w:highlight w:val="white"/>
          <w:rtl w:val="0"/>
        </w:rPr>
        <w:t xml:space="preserve">La impronta visual es fundamental, la escritura ofrece un estilo plástico que permite al lector imaginar las escenas. Por eso resulta redundante la graficación de las notas arltianas con fotografías o dibujos caricaturescos con las que comúnmente iban acompañadas.</w:t>
      </w:r>
    </w:p>
    <w:p w:rsidR="00000000" w:rsidDel="00000000" w:rsidP="00000000" w:rsidRDefault="00000000" w:rsidRPr="00000000" w14:paraId="0000000E">
      <w:pPr>
        <w:spacing w:line="360" w:lineRule="auto"/>
        <w:jc w:val="both"/>
        <w:rPr>
          <w:rFonts w:ascii="Georgia" w:cs="Georgia" w:eastAsia="Georgia" w:hAnsi="Georgia"/>
          <w:color w:val="202122"/>
          <w:sz w:val="24"/>
          <w:szCs w:val="24"/>
          <w:highlight w:val="white"/>
        </w:rPr>
      </w:pPr>
      <w:r w:rsidDel="00000000" w:rsidR="00000000" w:rsidRPr="00000000">
        <w:rPr>
          <w:rFonts w:ascii="Georgia" w:cs="Georgia" w:eastAsia="Georgia" w:hAnsi="Georgia"/>
          <w:color w:val="202122"/>
          <w:sz w:val="24"/>
          <w:szCs w:val="24"/>
          <w:highlight w:val="white"/>
          <w:rtl w:val="0"/>
        </w:rPr>
        <w:t xml:space="preserve">Roberto Arlt, también expresó sus ideas sobre el discurso y el lenguaje argentino en varias aguafuertes como: “El Idioma de los argentinos”, “El origen de algunas palabras de nuestro léxico popular”, “Divertido origen de la palabra squenum”, que constituyen verdaderas reflexiones socio-lingüísticas.</w:t>
      </w:r>
    </w:p>
    <w:p w:rsidR="00000000" w:rsidDel="00000000" w:rsidP="00000000" w:rsidRDefault="00000000" w:rsidRPr="00000000" w14:paraId="0000000F">
      <w:pPr>
        <w:spacing w:line="360" w:lineRule="auto"/>
        <w:jc w:val="both"/>
        <w:rPr>
          <w:rFonts w:ascii="Georgia" w:cs="Georgia" w:eastAsia="Georgia" w:hAnsi="Georgia"/>
          <w:color w:val="202122"/>
          <w:sz w:val="24"/>
          <w:szCs w:val="24"/>
          <w:highlight w:val="white"/>
        </w:rPr>
      </w:pPr>
      <w:r w:rsidDel="00000000" w:rsidR="00000000" w:rsidRPr="00000000">
        <w:rPr>
          <w:rFonts w:ascii="Georgia" w:cs="Georgia" w:eastAsia="Georgia" w:hAnsi="Georgia"/>
          <w:color w:val="202122"/>
          <w:sz w:val="24"/>
          <w:szCs w:val="24"/>
          <w:highlight w:val="white"/>
          <w:rtl w:val="0"/>
        </w:rPr>
        <w:t xml:space="preserve">Existen, además del componente lingüístico y sociológico, dos componentes omnipresentes en estos textos: el político y el autobiográfico. En sus aguafuertes Arlt se define como “criticón”, disconforme y libertario escritor urbano que vive precariamente su día a día. Según David Viñas (1998), estos textos evidencian la aguda mirada del autor hacia su ciudad, quien pinta, describe los diferentes tipos de habitantes, los anónimos personajes de la calle. Viñas analiza discursivamente el título de las producciones en cuestión: “Aguafuertes porteñas”: “aguafuertes”: alude al procedimiento de escritura. “porteñas”: otorga la delimitación geográfica, interés excluyentemente urbano. Este crítico concluye que las Aguafuertes pueden leerse como una “extensa colección en forma de abanico de tipos porteños” (Viñas, 1998:7).</w:t>
      </w:r>
    </w:p>
    <w:p w:rsidR="00000000" w:rsidDel="00000000" w:rsidP="00000000" w:rsidRDefault="00000000" w:rsidRPr="00000000" w14:paraId="00000010">
      <w:pPr>
        <w:spacing w:line="360" w:lineRule="auto"/>
        <w:jc w:val="both"/>
        <w:rPr>
          <w:rFonts w:ascii="Georgia" w:cs="Georgia" w:eastAsia="Georgia" w:hAnsi="Georgia"/>
          <w:color w:val="202122"/>
          <w:sz w:val="24"/>
          <w:szCs w:val="24"/>
          <w:highlight w:val="white"/>
        </w:rPr>
      </w:pPr>
      <w:r w:rsidDel="00000000" w:rsidR="00000000" w:rsidRPr="00000000">
        <w:rPr>
          <w:rFonts w:ascii="Georgia" w:cs="Georgia" w:eastAsia="Georgia" w:hAnsi="Georgia"/>
          <w:color w:val="202122"/>
          <w:sz w:val="24"/>
          <w:szCs w:val="24"/>
          <w:highlight w:val="white"/>
          <w:rtl w:val="0"/>
        </w:rPr>
        <w:t xml:space="preserve">Humor inteligente e ironía implacable, son las claves del discurso arltiano para relatar la vida cotidiana del vivir porteño, la parte oculta de la ciudad, la “historia privada” del Buenos Aires de su época.</w:t>
      </w:r>
    </w:p>
    <w:p w:rsidR="00000000" w:rsidDel="00000000" w:rsidP="00000000" w:rsidRDefault="00000000" w:rsidRPr="00000000" w14:paraId="00000011">
      <w:pPr>
        <w:spacing w:line="360" w:lineRule="auto"/>
        <w:jc w:val="both"/>
        <w:rPr>
          <w:rFonts w:ascii="Georgia" w:cs="Georgia" w:eastAsia="Georgia" w:hAnsi="Georgia"/>
          <w:color w:val="202122"/>
          <w:sz w:val="24"/>
          <w:szCs w:val="24"/>
          <w:highlight w:val="white"/>
        </w:rPr>
      </w:pPr>
      <w:r w:rsidDel="00000000" w:rsidR="00000000" w:rsidRPr="00000000">
        <w:rPr>
          <w:rFonts w:ascii="Georgia" w:cs="Georgia" w:eastAsia="Georgia" w:hAnsi="Georgia"/>
          <w:color w:val="202122"/>
          <w:sz w:val="24"/>
          <w:szCs w:val="24"/>
          <w:highlight w:val="white"/>
          <w:rtl w:val="0"/>
        </w:rPr>
        <w:t xml:space="preserve">Con predominio de un lenguaje que opera en la zona más populista de Arlt, la temática de las aguafuertes es múltiple: incluye el prototipo urbano, tipos y vidas de barrio, oficios, la crisis política y social, trabajo y moral, el empleado público, la burocracia, la clase obrera, la burguesía, los lugares y edificios de la cuidad, etc. De cada tema podrían realizarse series que agrupen las aguafuertes que los tratan. Por ejemplo, el tema del desempleo está ampliamente desarrollado; puede leerse en aguafuertes como: “Sin laburo”, “El pan dulce del cesante”, “Aguinaldo inesperado”, “Lo trágico, sin laburo”. Los temas en las Aguafuertes arltianas son siempre sociales, trasuntan una preocupación crítica por la comunidad.</w:t>
      </w:r>
    </w:p>
    <w:p w:rsidR="00000000" w:rsidDel="00000000" w:rsidP="00000000" w:rsidRDefault="00000000" w:rsidRPr="00000000" w14:paraId="00000012">
      <w:pPr>
        <w:spacing w:line="360" w:lineRule="auto"/>
        <w:jc w:val="both"/>
        <w:rPr>
          <w:rFonts w:ascii="Georgia" w:cs="Georgia" w:eastAsia="Georgia" w:hAnsi="Georgia"/>
          <w:color w:val="202122"/>
          <w:sz w:val="24"/>
          <w:szCs w:val="24"/>
          <w:highlight w:val="white"/>
        </w:rPr>
      </w:pPr>
      <w:r w:rsidDel="00000000" w:rsidR="00000000" w:rsidRPr="00000000">
        <w:rPr>
          <w:rFonts w:ascii="Georgia" w:cs="Georgia" w:eastAsia="Georgia" w:hAnsi="Georgia"/>
          <w:color w:val="202122"/>
          <w:sz w:val="24"/>
          <w:szCs w:val="24"/>
          <w:highlight w:val="white"/>
          <w:rtl w:val="0"/>
        </w:rPr>
        <w:t xml:space="preserve">Los personajes típicos que habitan la cuidad, son descriptos por sus atributos genéricos, por características sociales más que personales. Retratados desde el caso particular, siempre están enunciados en singular: el hombre corcho, el que se tira a muerto, el eterno solterón, el vividor, el vago y sus subtipos, entre otros muchos. En cada uno de estos tipos hay una mezcla de manifestaciones singulares y generalizaciones subjetivas en las que reina el humor; así el hombre corcho es aquel que nunca se hunde y que siempre, desde la escuela “fue así, bellaco y tramposo y simulador como él solo”.</w:t>
      </w:r>
    </w:p>
    <w:p w:rsidR="00000000" w:rsidDel="00000000" w:rsidP="00000000" w:rsidRDefault="00000000" w:rsidRPr="00000000" w14:paraId="00000013">
      <w:pPr>
        <w:spacing w:line="360" w:lineRule="auto"/>
        <w:jc w:val="both"/>
        <w:rPr>
          <w:rFonts w:ascii="Georgia" w:cs="Georgia" w:eastAsia="Georgia" w:hAnsi="Georgia"/>
          <w:color w:val="202122"/>
          <w:sz w:val="24"/>
          <w:szCs w:val="24"/>
          <w:highlight w:val="white"/>
        </w:rPr>
      </w:pPr>
      <w:r w:rsidDel="00000000" w:rsidR="00000000" w:rsidRPr="00000000">
        <w:rPr>
          <w:rFonts w:ascii="Georgia" w:cs="Georgia" w:eastAsia="Georgia" w:hAnsi="Georgia"/>
          <w:color w:val="202122"/>
          <w:sz w:val="24"/>
          <w:szCs w:val="24"/>
          <w:highlight w:val="white"/>
          <w:rtl w:val="0"/>
        </w:rPr>
        <w:t xml:space="preserve">El lector de hoy también puede reconocerse en los personajes y situaciones retratadas en las aguafuertes y descubrir con asombro, que a pesar de los vertiginosos avances científico-tecnológicos, a pesar de estar atravesando ya el siglo XXI -y mirar aquella modernidad desde el después: la posmodernidad-, existe un estado de cosas en la idiosincrasia y en el ser social que siguen vigentes como hace noventa años: La sensación de impotencia en una ciudad tan inasible y atractiva como fagocitante y hostil; donde la persona es anónima en la multitud y experimenta una paradójica soledad rodeada de gente. Buenos Aires sigue siendo, como en los años treinta “la cuidad de la furia, que hoy canta el rock nacional.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s.m.wikipedia.org/wiki/Cuadro_de_costumbres" TargetMode="External"/><Relationship Id="rId10" Type="http://schemas.openxmlformats.org/officeDocument/2006/relationships/hyperlink" Target="https://es.m.wikipedia.org/wiki/Francisco_de_Goya" TargetMode="External"/><Relationship Id="rId13" Type="http://schemas.openxmlformats.org/officeDocument/2006/relationships/hyperlink" Target="https://es.m.wikipedia.org/wiki/Buenos_Aires" TargetMode="External"/><Relationship Id="rId12" Type="http://schemas.openxmlformats.org/officeDocument/2006/relationships/hyperlink" Target="https://es.m.wikipedia.org/wiki/Mariano_Jos%C3%A9_de_Larr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m.wikipedia.org/wiki/Rembrandt" TargetMode="External"/><Relationship Id="rId14" Type="http://schemas.openxmlformats.org/officeDocument/2006/relationships/hyperlink" Target="https://es.m.wikipedia.org/wiki/Existencialismo" TargetMode="External"/><Relationship Id="rId5" Type="http://schemas.openxmlformats.org/officeDocument/2006/relationships/styles" Target="styles.xml"/><Relationship Id="rId6" Type="http://schemas.openxmlformats.org/officeDocument/2006/relationships/hyperlink" Target="https://es.m.wikipedia.org/wiki/Roberto_Arlt" TargetMode="External"/><Relationship Id="rId7" Type="http://schemas.openxmlformats.org/officeDocument/2006/relationships/hyperlink" Target="https://es.m.wikipedia.org/wiki/Proa_(revista)" TargetMode="External"/><Relationship Id="rId8" Type="http://schemas.openxmlformats.org/officeDocument/2006/relationships/hyperlink" Target="https://es.m.wikipedia.org/wiki/Du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