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D5" w:rsidRPr="00665AD5" w:rsidRDefault="00665AD5" w:rsidP="00665AD5">
      <w:pPr>
        <w:shd w:val="clear" w:color="auto" w:fill="FFFFFF"/>
        <w:spacing w:after="100" w:afterAutospacing="1" w:line="240" w:lineRule="auto"/>
        <w:outlineLvl w:val="0"/>
        <w:rPr>
          <w:rFonts w:ascii="Segoe UI" w:eastAsia="Times New Roman" w:hAnsi="Segoe UI" w:cs="Segoe UI"/>
          <w:noProof w:val="0"/>
          <w:color w:val="D42B1E"/>
          <w:kern w:val="36"/>
          <w:sz w:val="48"/>
          <w:szCs w:val="48"/>
          <w:lang w:val="es-AR" w:eastAsia="es-AR"/>
        </w:rPr>
      </w:pPr>
      <w:r>
        <w:rPr>
          <w:rFonts w:ascii="Segoe UI" w:eastAsia="Times New Roman" w:hAnsi="Segoe UI" w:cs="Segoe UI"/>
          <w:noProof w:val="0"/>
          <w:color w:val="D42B1E"/>
          <w:kern w:val="36"/>
          <w:sz w:val="48"/>
          <w:szCs w:val="48"/>
          <w:lang w:val="es-AR" w:eastAsia="es-AR"/>
        </w:rPr>
        <w:t>VACUNA ANTITETÁNIC</w:t>
      </w:r>
    </w:p>
    <w:p w:rsidR="00665AD5" w:rsidRPr="00665AD5" w:rsidRDefault="00665AD5" w:rsidP="00665AD5">
      <w:pPr>
        <w:shd w:val="clear" w:color="auto" w:fill="FFFFFF"/>
        <w:spacing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Agente inmunizante: está compuesta por toxoide tetánico inactivado con formol. En muchos países, esta vacuna se aplica de rutina combinada con la antidiftérica (</w:t>
      </w:r>
      <w:proofErr w:type="spellStart"/>
      <w:r w:rsidRPr="00665AD5">
        <w:rPr>
          <w:rFonts w:ascii="Segoe UI" w:eastAsia="Times New Roman" w:hAnsi="Segoe UI" w:cs="Segoe UI"/>
          <w:noProof w:val="0"/>
          <w:color w:val="212529"/>
          <w:sz w:val="24"/>
          <w:szCs w:val="24"/>
          <w:lang w:val="es-AR" w:eastAsia="es-AR"/>
        </w:rPr>
        <w:t>dT</w:t>
      </w:r>
      <w:proofErr w:type="spellEnd"/>
      <w:r w:rsidRPr="00665AD5">
        <w:rPr>
          <w:rFonts w:ascii="Segoe UI" w:eastAsia="Times New Roman" w:hAnsi="Segoe UI" w:cs="Segoe UI"/>
          <w:noProof w:val="0"/>
          <w:color w:val="212529"/>
          <w:sz w:val="24"/>
          <w:szCs w:val="24"/>
          <w:lang w:val="es-AR" w:eastAsia="es-AR"/>
        </w:rPr>
        <w:t>) -se</w:t>
      </w:r>
      <w:r>
        <w:rPr>
          <w:rFonts w:ascii="Segoe UI" w:eastAsia="Times New Roman" w:hAnsi="Segoe UI" w:cs="Segoe UI"/>
          <w:noProof w:val="0"/>
          <w:color w:val="212529"/>
          <w:sz w:val="24"/>
          <w:szCs w:val="24"/>
          <w:lang w:val="es-AR" w:eastAsia="es-AR"/>
        </w:rPr>
        <w:t xml:space="preserve">gún indicaciones de la OMS- </w:t>
      </w:r>
      <w:r w:rsidRPr="00665AD5">
        <w:rPr>
          <w:rFonts w:ascii="Segoe UI" w:eastAsia="Times New Roman" w:hAnsi="Segoe UI" w:cs="Segoe UI"/>
          <w:noProof w:val="0"/>
          <w:color w:val="212529"/>
          <w:sz w:val="24"/>
          <w:szCs w:val="24"/>
          <w:lang w:val="es-AR" w:eastAsia="es-AR"/>
        </w:rPr>
        <w:t xml:space="preserve"> difteria. Por otra parte, también se presenta en forma individual. Luego de su administración, mantiene efecto protector durante 10 años por lo que debe ser renovada luego de ese tiempo (para mayores detalles, ver </w:t>
      </w:r>
      <w:hyperlink r:id="rId5" w:tgtFrame="blank" w:history="1">
        <w:r w:rsidRPr="00665AD5">
          <w:rPr>
            <w:rFonts w:ascii="Segoe UI" w:eastAsia="Times New Roman" w:hAnsi="Segoe UI" w:cs="Segoe UI"/>
            <w:noProof w:val="0"/>
            <w:color w:val="D42B1E"/>
            <w:sz w:val="24"/>
            <w:szCs w:val="24"/>
            <w:lang w:val="es-AR" w:eastAsia="es-AR"/>
          </w:rPr>
          <w:t>Vacuna Doble</w:t>
        </w:r>
      </w:hyperlink>
      <w:r w:rsidRPr="00665AD5">
        <w:rPr>
          <w:rFonts w:ascii="Segoe UI" w:eastAsia="Times New Roman" w:hAnsi="Segoe UI" w:cs="Segoe UI"/>
          <w:noProof w:val="0"/>
          <w:color w:val="212529"/>
          <w:sz w:val="24"/>
          <w:szCs w:val="24"/>
          <w:lang w:val="es-AR" w:eastAsia="es-AR"/>
        </w:rPr>
        <w:t> o </w:t>
      </w:r>
      <w:hyperlink r:id="rId6" w:tgtFrame="blank" w:history="1">
        <w:r w:rsidRPr="00665AD5">
          <w:rPr>
            <w:rFonts w:ascii="Segoe UI" w:eastAsia="Times New Roman" w:hAnsi="Segoe UI" w:cs="Segoe UI"/>
            <w:noProof w:val="0"/>
            <w:color w:val="D42B1E"/>
            <w:sz w:val="24"/>
            <w:szCs w:val="24"/>
            <w:lang w:val="es-AR" w:eastAsia="es-AR"/>
          </w:rPr>
          <w:t>Triple bacteriana</w:t>
        </w:r>
      </w:hyperlink>
      <w:r w:rsidRPr="00665AD5">
        <w:rPr>
          <w:rFonts w:ascii="Segoe UI" w:eastAsia="Times New Roman" w:hAnsi="Segoe UI" w:cs="Segoe UI"/>
          <w:noProof w:val="0"/>
          <w:color w:val="212529"/>
          <w:sz w:val="24"/>
          <w:szCs w:val="24"/>
          <w:lang w:val="es-AR" w:eastAsia="es-AR"/>
        </w:rPr>
        <w:t>.</w:t>
      </w:r>
    </w:p>
    <w:p w:rsidR="00665AD5" w:rsidRPr="00665AD5" w:rsidRDefault="00665AD5" w:rsidP="00665AD5">
      <w:pPr>
        <w:shd w:val="clear" w:color="auto" w:fill="FFFFFF"/>
        <w:spacing w:after="100" w:afterAutospacing="1" w:line="240" w:lineRule="auto"/>
        <w:outlineLvl w:val="1"/>
        <w:rPr>
          <w:rFonts w:ascii="Segoe UI" w:eastAsia="Times New Roman" w:hAnsi="Segoe UI" w:cs="Segoe UI"/>
          <w:noProof w:val="0"/>
          <w:color w:val="212529"/>
          <w:sz w:val="24"/>
          <w:szCs w:val="24"/>
          <w:lang w:val="es-AR" w:eastAsia="es-AR"/>
        </w:rPr>
      </w:pPr>
      <w:r>
        <w:rPr>
          <w:rFonts w:ascii="Segoe UI" w:eastAsia="Times New Roman" w:hAnsi="Segoe UI" w:cs="Segoe UI"/>
          <w:noProof w:val="0"/>
          <w:color w:val="D42B1E"/>
          <w:sz w:val="36"/>
          <w:szCs w:val="36"/>
          <w:lang w:val="es-AR" w:eastAsia="es-AR"/>
        </w:rPr>
        <w:t xml:space="preserve">Indicación     </w:t>
      </w:r>
      <w:r w:rsidRPr="00665AD5">
        <w:rPr>
          <w:rFonts w:ascii="Segoe UI" w:eastAsia="Times New Roman" w:hAnsi="Segoe UI" w:cs="Segoe UI"/>
          <w:noProof w:val="0"/>
          <w:color w:val="212529"/>
          <w:sz w:val="24"/>
          <w:szCs w:val="24"/>
          <w:lang w:val="es-AR" w:eastAsia="es-AR"/>
        </w:rPr>
        <w:t>En la mayoría de los países comienza a aplicarse desde los 2 meses de edad en adelante, con distintos esquemas supeditados a la realidad epidemiológica. Algunos grupos de riesgo pueden disminuir el tiempo de espera entre refuerzos.</w:t>
      </w:r>
    </w:p>
    <w:p w:rsidR="00665AD5" w:rsidRPr="00665AD5" w:rsidRDefault="00665AD5" w:rsidP="00665AD5">
      <w:pPr>
        <w:shd w:val="clear" w:color="auto" w:fill="FFFFFF"/>
        <w:spacing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Luego de la vacunación primaria con 3 dosis de toxoide adsorbido, los títulos protectores de antitoxinas permanecen por 5 o más años. Luego de una o más dosis de refuerzo estos anticuerpos se mantienen por 10 años. En la práctica, la vacunación ha demostrado una eficacia superior al 99% y, en algunos estudios clínicos, una eficacia del 100% en la prevención del tétanos neonatal.</w:t>
      </w:r>
    </w:p>
    <w:p w:rsidR="00665AD5" w:rsidRPr="00665AD5" w:rsidRDefault="00665AD5" w:rsidP="00665AD5">
      <w:pPr>
        <w:shd w:val="clear" w:color="auto" w:fill="FFFFFF"/>
        <w:spacing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b/>
          <w:bCs/>
          <w:noProof w:val="0"/>
          <w:color w:val="212529"/>
          <w:sz w:val="24"/>
          <w:szCs w:val="24"/>
          <w:lang w:val="es-AR" w:eastAsia="es-AR"/>
        </w:rPr>
        <w:t>Grupos prioritarios:</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Embarazadas.</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Amas de casa.</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Alumnos de escuelas técnicas.</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Equipo de salud.</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Pacientes hospitalizados (según antecedentes).</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Preoperatorio programado (con o sin aplicación simultánea de Gamma Globulina Antitetánica, según tipo de cirugía).</w:t>
      </w:r>
    </w:p>
    <w:p w:rsidR="00665AD5" w:rsidRPr="00665AD5" w:rsidRDefault="00665AD5" w:rsidP="00665AD5">
      <w:pPr>
        <w:numPr>
          <w:ilvl w:val="0"/>
          <w:numId w:val="1"/>
        </w:numPr>
        <w:shd w:val="clear" w:color="auto" w:fill="FFFFFF"/>
        <w:spacing w:before="100" w:beforeAutospacing="1" w:after="100" w:afterAutospacing="1" w:line="240" w:lineRule="auto"/>
        <w:rPr>
          <w:rFonts w:ascii="Segoe UI" w:eastAsia="Times New Roman" w:hAnsi="Segoe UI" w:cs="Segoe UI"/>
          <w:noProof w:val="0"/>
          <w:color w:val="212529"/>
          <w:sz w:val="24"/>
          <w:szCs w:val="24"/>
          <w:lang w:val="es-AR" w:eastAsia="es-AR"/>
        </w:rPr>
      </w:pPr>
      <w:r w:rsidRPr="00665AD5">
        <w:rPr>
          <w:rFonts w:ascii="Segoe UI" w:eastAsia="Times New Roman" w:hAnsi="Segoe UI" w:cs="Segoe UI"/>
          <w:noProof w:val="0"/>
          <w:color w:val="212529"/>
          <w:sz w:val="24"/>
          <w:szCs w:val="24"/>
          <w:lang w:val="es-AR" w:eastAsia="es-AR"/>
        </w:rPr>
        <w:t>Tercera edad.</w:t>
      </w:r>
    </w:p>
    <w:p w:rsidR="00116B05" w:rsidRPr="00665AD5" w:rsidRDefault="00665AD5" w:rsidP="00665AD5">
      <w:pPr>
        <w:shd w:val="clear" w:color="auto" w:fill="FFFFFF"/>
        <w:spacing w:before="100" w:beforeAutospacing="1" w:after="100" w:afterAutospacing="1" w:line="240" w:lineRule="auto"/>
        <w:ind w:left="720"/>
        <w:rPr>
          <w:rFonts w:ascii="Segoe UI" w:eastAsia="Times New Roman" w:hAnsi="Segoe UI" w:cs="Segoe UI"/>
          <w:noProof w:val="0"/>
          <w:color w:val="212529"/>
          <w:sz w:val="24"/>
          <w:szCs w:val="24"/>
          <w:lang w:val="es-AR" w:eastAsia="es-AR"/>
        </w:rPr>
      </w:pPr>
      <w:r>
        <w:rPr>
          <w:rFonts w:ascii="Segoe UI" w:eastAsia="Times New Roman" w:hAnsi="Segoe UI" w:cs="Segoe UI"/>
          <w:noProof w:val="0"/>
          <w:color w:val="212529"/>
          <w:sz w:val="24"/>
          <w:szCs w:val="24"/>
          <w:lang w:val="es-AR" w:eastAsia="es-AR"/>
        </w:rPr>
        <w:t>Trabajo :</w:t>
      </w:r>
      <w:proofErr w:type="spellStart"/>
      <w:r w:rsidR="0068646E">
        <w:rPr>
          <w:rFonts w:ascii="Segoe UI" w:eastAsia="Times New Roman" w:hAnsi="Segoe UI" w:cs="Segoe UI"/>
          <w:noProof w:val="0"/>
          <w:color w:val="212529"/>
          <w:sz w:val="24"/>
          <w:szCs w:val="24"/>
          <w:lang w:val="es-AR" w:eastAsia="es-AR"/>
        </w:rPr>
        <w:t>Y</w:t>
      </w:r>
      <w:r>
        <w:rPr>
          <w:rFonts w:ascii="Segoe UI" w:eastAsia="Times New Roman" w:hAnsi="Segoe UI" w:cs="Segoe UI"/>
          <w:noProof w:val="0"/>
          <w:color w:val="212529"/>
          <w:sz w:val="24"/>
          <w:szCs w:val="24"/>
          <w:lang w:val="es-AR" w:eastAsia="es-AR"/>
        </w:rPr>
        <w:t>utiel</w:t>
      </w:r>
      <w:proofErr w:type="spellEnd"/>
      <w:r>
        <w:rPr>
          <w:rFonts w:ascii="Segoe UI" w:eastAsia="Times New Roman" w:hAnsi="Segoe UI" w:cs="Segoe UI"/>
          <w:noProof w:val="0"/>
          <w:color w:val="212529"/>
          <w:sz w:val="24"/>
          <w:szCs w:val="24"/>
          <w:lang w:val="es-AR" w:eastAsia="es-AR"/>
        </w:rPr>
        <w:t xml:space="preserve"> de </w:t>
      </w:r>
      <w:r w:rsidR="0068646E">
        <w:rPr>
          <w:rFonts w:ascii="Segoe UI" w:eastAsia="Times New Roman" w:hAnsi="Segoe UI" w:cs="Segoe UI"/>
          <w:noProof w:val="0"/>
          <w:color w:val="212529"/>
          <w:sz w:val="24"/>
          <w:szCs w:val="24"/>
          <w:lang w:val="es-AR" w:eastAsia="es-AR"/>
        </w:rPr>
        <w:t xml:space="preserve">los </w:t>
      </w:r>
      <w:proofErr w:type="spellStart"/>
      <w:r w:rsidR="0068646E">
        <w:rPr>
          <w:rFonts w:ascii="Segoe UI" w:eastAsia="Times New Roman" w:hAnsi="Segoe UI" w:cs="Segoe UI"/>
          <w:noProof w:val="0"/>
          <w:color w:val="212529"/>
          <w:sz w:val="24"/>
          <w:szCs w:val="24"/>
          <w:lang w:val="es-AR" w:eastAsia="es-AR"/>
        </w:rPr>
        <w:t>R</w:t>
      </w:r>
      <w:bookmarkStart w:id="0" w:name="_GoBack"/>
      <w:bookmarkEnd w:id="0"/>
      <w:r>
        <w:rPr>
          <w:rFonts w:ascii="Segoe UI" w:eastAsia="Times New Roman" w:hAnsi="Segoe UI" w:cs="Segoe UI"/>
          <w:noProof w:val="0"/>
          <w:color w:val="212529"/>
          <w:sz w:val="24"/>
          <w:szCs w:val="24"/>
          <w:lang w:val="es-AR" w:eastAsia="es-AR"/>
        </w:rPr>
        <w:t>ios</w:t>
      </w:r>
      <w:proofErr w:type="spellEnd"/>
    </w:p>
    <w:sectPr w:rsidR="00116B05" w:rsidRPr="00665AD5" w:rsidSect="00721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703EB"/>
    <w:multiLevelType w:val="multilevel"/>
    <w:tmpl w:val="D75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5"/>
    <w:rsid w:val="00116B05"/>
    <w:rsid w:val="004C0ED1"/>
    <w:rsid w:val="00665AD5"/>
    <w:rsid w:val="0068646E"/>
    <w:rsid w:val="00721CA4"/>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3F95"/>
  <w15:chartTrackingRefBased/>
  <w15:docId w15:val="{5EAE25E6-4B71-40D8-8F66-6CEC84E7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link w:val="Ttulo1Car"/>
    <w:uiPriority w:val="9"/>
    <w:qFormat/>
    <w:rsid w:val="00665AD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s-AR" w:eastAsia="es-AR"/>
    </w:rPr>
  </w:style>
  <w:style w:type="paragraph" w:styleId="Ttulo2">
    <w:name w:val="heading 2"/>
    <w:basedOn w:val="Normal"/>
    <w:link w:val="Ttulo2Car"/>
    <w:uiPriority w:val="9"/>
    <w:qFormat/>
    <w:rsid w:val="00665AD5"/>
    <w:pPr>
      <w:spacing w:before="100" w:beforeAutospacing="1" w:after="100" w:afterAutospacing="1" w:line="240" w:lineRule="auto"/>
      <w:outlineLvl w:val="1"/>
    </w:pPr>
    <w:rPr>
      <w:rFonts w:ascii="Times New Roman" w:eastAsia="Times New Roman" w:hAnsi="Times New Roman" w:cs="Times New Roman"/>
      <w:b/>
      <w:bCs/>
      <w:noProof w:val="0"/>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5AD5"/>
    <w:rPr>
      <w:rFonts w:ascii="Times New Roman" w:eastAsia="Times New Roman" w:hAnsi="Times New Roman" w:cs="Times New Roman"/>
      <w:b/>
      <w:bCs/>
      <w:kern w:val="36"/>
      <w:sz w:val="48"/>
      <w:szCs w:val="48"/>
      <w:lang w:val="es-AR" w:eastAsia="es-AR"/>
    </w:rPr>
  </w:style>
  <w:style w:type="character" w:customStyle="1" w:styleId="Ttulo2Car">
    <w:name w:val="Título 2 Car"/>
    <w:basedOn w:val="Fuentedeprrafopredeter"/>
    <w:link w:val="Ttulo2"/>
    <w:uiPriority w:val="9"/>
    <w:rsid w:val="00665AD5"/>
    <w:rPr>
      <w:rFonts w:ascii="Times New Roman" w:eastAsia="Times New Roman" w:hAnsi="Times New Roman" w:cs="Times New Roman"/>
      <w:b/>
      <w:bCs/>
      <w:sz w:val="36"/>
      <w:szCs w:val="36"/>
      <w:lang w:val="es-AR" w:eastAsia="es-AR"/>
    </w:rPr>
  </w:style>
  <w:style w:type="paragraph" w:styleId="NormalWeb">
    <w:name w:val="Normal (Web)"/>
    <w:basedOn w:val="Normal"/>
    <w:uiPriority w:val="99"/>
    <w:semiHidden/>
    <w:unhideWhenUsed/>
    <w:rsid w:val="00665AD5"/>
    <w:pPr>
      <w:spacing w:before="100" w:beforeAutospacing="1" w:after="100" w:afterAutospacing="1" w:line="240" w:lineRule="auto"/>
    </w:pPr>
    <w:rPr>
      <w:rFonts w:ascii="Times New Roman" w:eastAsia="Times New Roman" w:hAnsi="Times New Roman" w:cs="Times New Roman"/>
      <w:noProof w:val="0"/>
      <w:sz w:val="24"/>
      <w:szCs w:val="24"/>
      <w:lang w:val="es-AR" w:eastAsia="es-AR"/>
    </w:rPr>
  </w:style>
  <w:style w:type="character" w:styleId="Hipervnculo">
    <w:name w:val="Hyperlink"/>
    <w:basedOn w:val="Fuentedeprrafopredeter"/>
    <w:uiPriority w:val="99"/>
    <w:semiHidden/>
    <w:unhideWhenUsed/>
    <w:rsid w:val="00665AD5"/>
    <w:rPr>
      <w:color w:val="0000FF"/>
      <w:u w:val="single"/>
    </w:rPr>
  </w:style>
  <w:style w:type="character" w:styleId="Textoennegrita">
    <w:name w:val="Strong"/>
    <w:basedOn w:val="Fuentedeprrafopredeter"/>
    <w:uiPriority w:val="22"/>
    <w:qFormat/>
    <w:rsid w:val="0066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5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sting.cs.uns.edu.ar/~inf-vacunas/enfermedades-y-vacunas/vacuna-triple-bacteriana" TargetMode="External"/><Relationship Id="rId5" Type="http://schemas.openxmlformats.org/officeDocument/2006/relationships/hyperlink" Target="https://hosting.cs.uns.edu.ar/~inf-vacunas/enfermedades-y-vacunas/vacuna-doble-bacteria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2023-09-15T14:33:00Z</dcterms:created>
  <dcterms:modified xsi:type="dcterms:W3CDTF">2023-09-15T14:44:00Z</dcterms:modified>
</cp:coreProperties>
</file>