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627" w:rsidRPr="00CA0AC3" w:rsidRDefault="009C7B62" w:rsidP="00370627">
      <w:pPr>
        <w:spacing w:after="0"/>
        <w:rPr>
          <w:b/>
        </w:rPr>
      </w:pPr>
      <w:r>
        <w:rPr>
          <w:b/>
        </w:rPr>
        <w:t>+</w:t>
      </w:r>
      <w:r w:rsidR="00370627" w:rsidRPr="00CA0AC3">
        <w:rPr>
          <w:b/>
        </w:rPr>
        <w:t>ESPACIO CURRICULAR: GEOGRAFIA</w:t>
      </w:r>
    </w:p>
    <w:p w:rsidR="00370627" w:rsidRPr="00CA0AC3" w:rsidRDefault="00370627" w:rsidP="00370627">
      <w:pPr>
        <w:spacing w:after="0"/>
        <w:rPr>
          <w:b/>
        </w:rPr>
      </w:pPr>
      <w:r>
        <w:rPr>
          <w:b/>
        </w:rPr>
        <w:t>CURSO: 6</w:t>
      </w:r>
      <w:r w:rsidRPr="00CA0AC3">
        <w:rPr>
          <w:b/>
        </w:rPr>
        <w:t xml:space="preserve">º AÑO </w:t>
      </w:r>
      <w:r>
        <w:rPr>
          <w:b/>
        </w:rPr>
        <w:t xml:space="preserve">                                                                                                                         </w:t>
      </w:r>
    </w:p>
    <w:p w:rsidR="00370627" w:rsidRPr="00440479" w:rsidRDefault="00370627" w:rsidP="00370627">
      <w:pPr>
        <w:rPr>
          <w:b/>
        </w:rPr>
      </w:pPr>
      <w:r w:rsidRPr="00CA0AC3">
        <w:rPr>
          <w:b/>
        </w:rPr>
        <w:t xml:space="preserve">PROFESOR: </w:t>
      </w:r>
      <w:r>
        <w:rPr>
          <w:b/>
        </w:rPr>
        <w:t>Villafañe, Martin Javier</w:t>
      </w:r>
    </w:p>
    <w:p w:rsidR="00370627" w:rsidRDefault="00370627" w:rsidP="00370627">
      <w:r>
        <w:t>Actividades:</w:t>
      </w:r>
    </w:p>
    <w:p w:rsidR="00370627" w:rsidRDefault="00370627" w:rsidP="00370627">
      <w:r>
        <w:t>1- Lea el texto</w:t>
      </w:r>
      <w:r w:rsidR="00840ADE">
        <w:t xml:space="preserve"> </w:t>
      </w:r>
      <w:r w:rsidR="00622185">
        <w:rPr>
          <w:b/>
          <w:i/>
          <w:u w:val="single"/>
        </w:rPr>
        <w:t xml:space="preserve">Crecimiento </w:t>
      </w:r>
      <w:r w:rsidR="00840ADE" w:rsidRPr="00840ADE">
        <w:rPr>
          <w:b/>
          <w:i/>
          <w:u w:val="single"/>
        </w:rPr>
        <w:t>de la Población</w:t>
      </w:r>
      <w:r w:rsidR="00622185">
        <w:rPr>
          <w:b/>
          <w:i/>
          <w:u w:val="single"/>
        </w:rPr>
        <w:t xml:space="preserve"> de San Juan</w:t>
      </w:r>
      <w:r w:rsidR="00840ADE">
        <w:t xml:space="preserve"> </w:t>
      </w:r>
      <w:r>
        <w:t xml:space="preserve"> y responda:</w:t>
      </w:r>
    </w:p>
    <w:p w:rsidR="00370627" w:rsidRDefault="00370627" w:rsidP="00622185">
      <w:pPr>
        <w:pStyle w:val="Prrafodelista"/>
        <w:numPr>
          <w:ilvl w:val="0"/>
          <w:numId w:val="12"/>
        </w:numPr>
        <w:spacing w:after="160" w:line="259" w:lineRule="auto"/>
      </w:pPr>
      <w:r>
        <w:t>¿Cómo fue la evolución de la población en San Juan a través del tiempo?</w:t>
      </w:r>
    </w:p>
    <w:p w:rsidR="009C7B62" w:rsidRDefault="009C7B62" w:rsidP="009C7B62">
      <w:pPr>
        <w:pStyle w:val="Prrafodelista"/>
        <w:spacing w:after="160" w:line="259" w:lineRule="auto"/>
        <w:ind w:left="1080"/>
      </w:pPr>
      <w:r>
        <w:t xml:space="preserve">El evolución en la provincia de san juan fue crecientemente positiva, dejando de lado los tres primeros años </w:t>
      </w:r>
    </w:p>
    <w:p w:rsidR="00370627" w:rsidRDefault="00370627" w:rsidP="00622185">
      <w:pPr>
        <w:pStyle w:val="Prrafodelista"/>
        <w:numPr>
          <w:ilvl w:val="0"/>
          <w:numId w:val="12"/>
        </w:numPr>
        <w:spacing w:after="160" w:line="259" w:lineRule="auto"/>
      </w:pPr>
      <w:r w:rsidRPr="003A1590">
        <w:t>¿Durante qué periodo censal la provincia de San Juan tuvo un incremento poblacional?</w:t>
      </w:r>
    </w:p>
    <w:p w:rsidR="009C7B62" w:rsidRDefault="009C7B62" w:rsidP="009C7B62">
      <w:pPr>
        <w:pStyle w:val="Prrafodelista"/>
        <w:spacing w:after="160" w:line="259" w:lineRule="auto"/>
        <w:ind w:left="1080"/>
      </w:pPr>
      <w:r>
        <w:t xml:space="preserve">Si, durante este periodo </w:t>
      </w:r>
      <w:r>
        <w:rPr>
          <w:rFonts w:cs="Times New Roman"/>
        </w:rPr>
        <w:t>la provincia incrementó 620.736 habitantes, lo que representa un aumento 11 veces mayor</w:t>
      </w:r>
    </w:p>
    <w:p w:rsidR="00370627" w:rsidRDefault="00370627" w:rsidP="00622185">
      <w:pPr>
        <w:pStyle w:val="Prrafodelista"/>
        <w:numPr>
          <w:ilvl w:val="0"/>
          <w:numId w:val="12"/>
        </w:numPr>
        <w:spacing w:after="160" w:line="259" w:lineRule="auto"/>
      </w:pPr>
      <w:r>
        <w:t>¿Cómo fue la participación de San Juan en la región y el país?</w:t>
      </w:r>
    </w:p>
    <w:p w:rsidR="009C7B62" w:rsidRDefault="009C7B62" w:rsidP="009C7B62">
      <w:pPr>
        <w:pStyle w:val="Prrafodelista"/>
        <w:spacing w:after="160" w:line="259" w:lineRule="auto"/>
        <w:ind w:left="1080"/>
      </w:pPr>
      <w:r>
        <w:t>La participación de san juan sobre la argentina siempre ha sido muy baja, durante el primer censo en mi 1869 se refleja el año de mayor participación pero esto gradualmente fue descendiendo</w:t>
      </w:r>
      <w:r w:rsidR="00100B37">
        <w:t>.</w:t>
      </w:r>
    </w:p>
    <w:p w:rsidR="00100B37" w:rsidRDefault="00100B37" w:rsidP="009C7B62">
      <w:pPr>
        <w:pStyle w:val="Prrafodelista"/>
        <w:spacing w:after="160" w:line="259" w:lineRule="auto"/>
        <w:ind w:left="1080"/>
      </w:pPr>
      <w:r>
        <w:t xml:space="preserve"> En cuyo durante el primer censo todas las provincias tenían un porcentaje parecido pero esto cambia bruscamente y decae.</w:t>
      </w:r>
    </w:p>
    <w:p w:rsidR="00370627" w:rsidRDefault="00370627" w:rsidP="00622185">
      <w:pPr>
        <w:numPr>
          <w:ilvl w:val="0"/>
          <w:numId w:val="12"/>
        </w:numPr>
        <w:spacing w:after="160" w:line="259" w:lineRule="auto"/>
      </w:pPr>
      <w:r w:rsidRPr="00DD09C0">
        <w:t>¿Qué criterio se utiliza para la clasificación de los departamentos</w:t>
      </w:r>
      <w:r w:rsidR="00622185">
        <w:t xml:space="preserve"> </w:t>
      </w:r>
      <w:r w:rsidR="00622185" w:rsidRPr="00DD09C0">
        <w:t xml:space="preserve">que conforman la Zona Central, </w:t>
      </w:r>
      <w:r w:rsidR="009C7B62" w:rsidRPr="00DD09C0">
        <w:t>Peri central</w:t>
      </w:r>
      <w:r w:rsidR="00622185" w:rsidRPr="00DD09C0">
        <w:t xml:space="preserve"> y Periférica</w:t>
      </w:r>
      <w:r w:rsidRPr="00DD09C0">
        <w:t xml:space="preserve"> de l</w:t>
      </w:r>
      <w:r>
        <w:t>a</w:t>
      </w:r>
      <w:r w:rsidR="00622185">
        <w:t xml:space="preserve"> provincia</w:t>
      </w:r>
      <w:r>
        <w:t>?</w:t>
      </w:r>
    </w:p>
    <w:p w:rsidR="00100B37" w:rsidRPr="00DD09C0" w:rsidRDefault="00100B37" w:rsidP="00100B37">
      <w:pPr>
        <w:spacing w:after="160" w:line="259" w:lineRule="auto"/>
        <w:ind w:left="1080"/>
      </w:pPr>
      <w:r>
        <w:rPr>
          <w:rFonts w:cs="Times New Roman"/>
          <w:color w:val="000000"/>
        </w:rPr>
        <w:t>Se han agrupado los departamentos de la provincia en tres zonas teniendo en cuenta la cercanía de cada uno de ellos con el centro político administrativo provincial, la base productiva y la extensión territorial</w:t>
      </w:r>
    </w:p>
    <w:p w:rsidR="00370627" w:rsidRDefault="00370627" w:rsidP="00622185">
      <w:pPr>
        <w:numPr>
          <w:ilvl w:val="0"/>
          <w:numId w:val="12"/>
        </w:numPr>
        <w:spacing w:after="160" w:line="259" w:lineRule="auto"/>
      </w:pPr>
      <w:r w:rsidRPr="00DD09C0">
        <w:t>Mencione las características y departamentos que constituyen cada zona.</w:t>
      </w:r>
    </w:p>
    <w:p w:rsidR="00100B37" w:rsidRPr="00100B37" w:rsidRDefault="00100B37" w:rsidP="00100B37">
      <w:pPr>
        <w:pStyle w:val="Prrafodelista"/>
        <w:autoSpaceDE w:val="0"/>
        <w:autoSpaceDN w:val="0"/>
        <w:adjustRightInd w:val="0"/>
        <w:spacing w:after="30" w:line="240" w:lineRule="auto"/>
        <w:ind w:left="1080"/>
        <w:rPr>
          <w:rFonts w:cs="Times New Roman"/>
          <w:color w:val="000000"/>
        </w:rPr>
      </w:pPr>
      <w:r w:rsidRPr="00100B37">
        <w:rPr>
          <w:rFonts w:cs="Times New Roman"/>
          <w:b/>
          <w:bCs/>
          <w:color w:val="000000"/>
        </w:rPr>
        <w:t xml:space="preserve">Zona Central, </w:t>
      </w:r>
      <w:r w:rsidRPr="00100B37">
        <w:rPr>
          <w:rFonts w:cs="Times New Roman"/>
          <w:color w:val="000000"/>
        </w:rPr>
        <w:t xml:space="preserve">de perfil urbano conformada por los departamentos de Capital, Rivadavia, Chimbas, Rawson y Santa Lucía. </w:t>
      </w:r>
    </w:p>
    <w:p w:rsidR="00100B37" w:rsidRPr="00100B37" w:rsidRDefault="00100B37" w:rsidP="00100B37">
      <w:pPr>
        <w:pStyle w:val="Prrafodelista"/>
        <w:autoSpaceDE w:val="0"/>
        <w:autoSpaceDN w:val="0"/>
        <w:adjustRightInd w:val="0"/>
        <w:spacing w:after="30" w:line="240" w:lineRule="auto"/>
        <w:ind w:left="1080"/>
        <w:rPr>
          <w:rFonts w:cs="Times New Roman"/>
          <w:color w:val="000000"/>
        </w:rPr>
      </w:pPr>
    </w:p>
    <w:p w:rsidR="00100B37" w:rsidRPr="00100B37" w:rsidRDefault="00100B37" w:rsidP="00100B37">
      <w:pPr>
        <w:pStyle w:val="Prrafodelista"/>
        <w:autoSpaceDE w:val="0"/>
        <w:autoSpaceDN w:val="0"/>
        <w:adjustRightInd w:val="0"/>
        <w:spacing w:after="30" w:line="240" w:lineRule="auto"/>
        <w:ind w:left="1080"/>
        <w:rPr>
          <w:rFonts w:cs="Times New Roman"/>
          <w:color w:val="000000"/>
        </w:rPr>
      </w:pPr>
      <w:r w:rsidRPr="00100B37">
        <w:rPr>
          <w:rFonts w:cs="Times New Roman"/>
          <w:b/>
          <w:bCs/>
          <w:color w:val="000000"/>
        </w:rPr>
        <w:t>Zona Pericentral</w:t>
      </w:r>
      <w:r w:rsidRPr="00100B37">
        <w:rPr>
          <w:rFonts w:cs="Times New Roman"/>
          <w:color w:val="000000"/>
        </w:rPr>
        <w:t xml:space="preserve">, de perfil rural intensivo, conformada por Pocito, Sarmiento, Caucete, Albardón, San Martín, Angaco, 9 de Julio, Ullum, Zonda, 25 de Mayo. </w:t>
      </w:r>
    </w:p>
    <w:p w:rsidR="00100B37" w:rsidRPr="00100B37" w:rsidRDefault="00100B37" w:rsidP="00100B37">
      <w:pPr>
        <w:pStyle w:val="Prrafodelista"/>
        <w:autoSpaceDE w:val="0"/>
        <w:autoSpaceDN w:val="0"/>
        <w:adjustRightInd w:val="0"/>
        <w:spacing w:after="30" w:line="240" w:lineRule="auto"/>
        <w:ind w:left="1080"/>
        <w:rPr>
          <w:rFonts w:cs="Times New Roman"/>
          <w:color w:val="000000"/>
        </w:rPr>
      </w:pPr>
    </w:p>
    <w:p w:rsidR="00100B37" w:rsidRPr="00100B37" w:rsidRDefault="00100B37" w:rsidP="00100B37">
      <w:pPr>
        <w:pStyle w:val="Prrafodelista"/>
        <w:autoSpaceDE w:val="0"/>
        <w:autoSpaceDN w:val="0"/>
        <w:adjustRightInd w:val="0"/>
        <w:spacing w:after="0" w:line="240" w:lineRule="auto"/>
        <w:ind w:left="1080"/>
        <w:rPr>
          <w:rFonts w:cs="Times New Roman"/>
          <w:color w:val="000000"/>
        </w:rPr>
      </w:pPr>
      <w:r w:rsidRPr="00100B37">
        <w:rPr>
          <w:rFonts w:cs="Times New Roman"/>
          <w:b/>
          <w:bCs/>
          <w:color w:val="000000"/>
        </w:rPr>
        <w:t>Zona Periférica</w:t>
      </w:r>
      <w:r w:rsidRPr="00100B37">
        <w:rPr>
          <w:rFonts w:cs="Times New Roman"/>
          <w:color w:val="000000"/>
        </w:rPr>
        <w:t xml:space="preserve">, de perfil rural extensivo, minero y turístico, conformada por los departamentos de Jáchal, Iglesia, Calingasta y Valle Fértil. </w:t>
      </w:r>
    </w:p>
    <w:p w:rsidR="00100B37" w:rsidRPr="00DD09C0" w:rsidRDefault="00100B37" w:rsidP="00100B37">
      <w:pPr>
        <w:spacing w:after="160" w:line="259" w:lineRule="auto"/>
        <w:ind w:left="1080"/>
      </w:pPr>
    </w:p>
    <w:p w:rsidR="00370627" w:rsidRPr="00DD09C0" w:rsidRDefault="00622185" w:rsidP="00370627">
      <w:pPr>
        <w:rPr>
          <w:rFonts w:cs="Times New Roman"/>
        </w:rPr>
      </w:pPr>
      <w:r>
        <w:t>2</w:t>
      </w:r>
      <w:r w:rsidR="00370627" w:rsidRPr="00DD09C0">
        <w:t xml:space="preserve">- Observe la </w:t>
      </w:r>
      <w:r w:rsidR="00370627" w:rsidRPr="00DD09C0">
        <w:rPr>
          <w:rFonts w:cs="Times New Roman"/>
        </w:rPr>
        <w:t xml:space="preserve">gráfica lineal de crecimiento total por zona, compare y responda: </w:t>
      </w:r>
    </w:p>
    <w:p w:rsidR="00370627" w:rsidRDefault="00370627" w:rsidP="00370627">
      <w:pPr>
        <w:pStyle w:val="Prrafodelista"/>
        <w:numPr>
          <w:ilvl w:val="0"/>
          <w:numId w:val="9"/>
        </w:numPr>
        <w:rPr>
          <w:rFonts w:cs="Times New Roman"/>
        </w:rPr>
      </w:pPr>
      <w:r w:rsidRPr="00DD09C0">
        <w:rPr>
          <w:rFonts w:cs="Times New Roman"/>
        </w:rPr>
        <w:t>¿Cuál es la tendencia de crecimiento de cada zona?</w:t>
      </w:r>
    </w:p>
    <w:p w:rsidR="00100B37" w:rsidRDefault="00100B37" w:rsidP="00100B37">
      <w:pPr>
        <w:pStyle w:val="Prrafodelista"/>
        <w:numPr>
          <w:ilvl w:val="0"/>
          <w:numId w:val="14"/>
        </w:numPr>
        <w:rPr>
          <w:rFonts w:cs="Times New Roman"/>
        </w:rPr>
      </w:pPr>
      <w:r>
        <w:rPr>
          <w:rFonts w:cs="Times New Roman"/>
        </w:rPr>
        <w:t xml:space="preserve">Zona central: esta zona contaba con un crecimiento de 14.8 cuando se realizo el primer ceso, en 1970 tuvo su auge con u crecimiento de 22.8 y a partir de allí </w:t>
      </w:r>
    </w:p>
    <w:p w:rsidR="00100B37" w:rsidRDefault="00100B37" w:rsidP="00100B37">
      <w:pPr>
        <w:pStyle w:val="Prrafodelista"/>
        <w:ind w:left="1364"/>
        <w:rPr>
          <w:rFonts w:cs="Times New Roman"/>
        </w:rPr>
      </w:pPr>
      <w:r>
        <w:rPr>
          <w:rFonts w:cs="Times New Roman"/>
        </w:rPr>
        <w:lastRenderedPageBreak/>
        <w:t>comenzó a decrecer en 1980-1991 llego a 12.8, luego aumenta un poco con 14.8 en los años siguientes pero terina con un total de tan solo 7.1. Esta zona tiene tendencia a decrecer.</w:t>
      </w:r>
    </w:p>
    <w:p w:rsidR="00100B37" w:rsidRDefault="00100B37" w:rsidP="00100B37">
      <w:pPr>
        <w:pStyle w:val="Prrafodelista"/>
        <w:numPr>
          <w:ilvl w:val="0"/>
          <w:numId w:val="14"/>
        </w:numPr>
        <w:rPr>
          <w:rFonts w:cs="Times New Roman"/>
        </w:rPr>
      </w:pPr>
      <w:r>
        <w:rPr>
          <w:rFonts w:cs="Times New Roman"/>
        </w:rPr>
        <w:t xml:space="preserve">Zona </w:t>
      </w:r>
      <w:r w:rsidR="001D0757">
        <w:rPr>
          <w:rFonts w:cs="Times New Roman"/>
        </w:rPr>
        <w:t>peri central: esta zona su crecimiento es muy variable entre los años1970 a 1991 disminuye pero luego vuelve a incrementar altamente</w:t>
      </w:r>
    </w:p>
    <w:p w:rsidR="001D0757" w:rsidRPr="00DD09C0" w:rsidRDefault="001D0757" w:rsidP="00100B37">
      <w:pPr>
        <w:pStyle w:val="Prrafodelista"/>
        <w:numPr>
          <w:ilvl w:val="0"/>
          <w:numId w:val="14"/>
        </w:numPr>
        <w:rPr>
          <w:rFonts w:cs="Times New Roman"/>
        </w:rPr>
      </w:pPr>
      <w:r>
        <w:rPr>
          <w:rFonts w:cs="Times New Roman"/>
        </w:rPr>
        <w:t>Zona periférica: la siguiente zona siempre fue muy baja y nunca logro aumentar de un 10 por ciento sobre la provincia</w:t>
      </w:r>
    </w:p>
    <w:p w:rsidR="00370627" w:rsidRDefault="00370627" w:rsidP="00370627">
      <w:pPr>
        <w:pStyle w:val="Prrafodelista"/>
        <w:numPr>
          <w:ilvl w:val="0"/>
          <w:numId w:val="9"/>
        </w:numPr>
        <w:rPr>
          <w:rFonts w:cs="Times New Roman"/>
        </w:rPr>
      </w:pPr>
      <w:r w:rsidRPr="00DD09C0">
        <w:rPr>
          <w:rFonts w:cs="Times New Roman"/>
        </w:rPr>
        <w:t>¿Cuáles son las causas y consecuencias de esa tendencia?</w:t>
      </w:r>
    </w:p>
    <w:p w:rsidR="001D0757" w:rsidRDefault="001D0757" w:rsidP="001D0757">
      <w:pPr>
        <w:pStyle w:val="Prrafodelista"/>
        <w:ind w:left="644"/>
        <w:rPr>
          <w:rFonts w:cs="Times New Roman"/>
        </w:rPr>
      </w:pPr>
      <w:r>
        <w:rPr>
          <w:rFonts w:cs="Times New Roman"/>
        </w:rPr>
        <w:t>Las migraciones con las que se han contado a lo largo de los años por consecuencia de la búsqueda de mejoras económicas, educativas y de salud se realizan desde la periferia hacia el centro en fin de mejorar la calidad de vida. Hoy en día la gente se muda desde el centro a la periferia (Santa Lucia, Ullum ,Rivadia) para una mejor alternativa de vivienda. Esto causa una distribución</w:t>
      </w:r>
      <w:r w:rsidR="00DD2B9D">
        <w:rPr>
          <w:rFonts w:cs="Times New Roman"/>
        </w:rPr>
        <w:t xml:space="preserve"> dispareja</w:t>
      </w:r>
      <w:r>
        <w:rPr>
          <w:rFonts w:cs="Times New Roman"/>
        </w:rPr>
        <w:t xml:space="preserve"> poblacional sobre la provincia</w:t>
      </w:r>
      <w:r w:rsidR="00DD2B9D">
        <w:rPr>
          <w:rFonts w:cs="Times New Roman"/>
        </w:rPr>
        <w:t>, dejando espacios vacíos</w:t>
      </w:r>
      <w:r>
        <w:rPr>
          <w:rFonts w:cs="Times New Roman"/>
        </w:rPr>
        <w:t>.</w:t>
      </w:r>
    </w:p>
    <w:p w:rsidR="00370627" w:rsidRPr="00DD09C0" w:rsidRDefault="00370627" w:rsidP="00370627">
      <w:pPr>
        <w:spacing w:after="0" w:line="240" w:lineRule="auto"/>
        <w:jc w:val="both"/>
        <w:rPr>
          <w:rFonts w:cs="Times New Roman"/>
        </w:rPr>
      </w:pPr>
    </w:p>
    <w:p w:rsidR="00370627" w:rsidRPr="00DD09C0" w:rsidRDefault="00370627" w:rsidP="00370627">
      <w:pPr>
        <w:rPr>
          <w:rFonts w:cs="Times New Roman"/>
        </w:rPr>
      </w:pPr>
    </w:p>
    <w:p w:rsidR="00370627" w:rsidRPr="00DD09C0" w:rsidRDefault="00370627" w:rsidP="00370627"/>
    <w:p w:rsidR="00370627" w:rsidRDefault="00370627" w:rsidP="00370627"/>
    <w:p w:rsidR="00370627" w:rsidRDefault="00370627" w:rsidP="00370627"/>
    <w:p w:rsidR="00370627" w:rsidRDefault="00370627" w:rsidP="00370627"/>
    <w:p w:rsidR="00370627" w:rsidRDefault="00370627" w:rsidP="00370627"/>
    <w:p w:rsidR="00370627" w:rsidRDefault="00370627" w:rsidP="00370627"/>
    <w:p w:rsidR="00370627" w:rsidRDefault="00370627" w:rsidP="00370627"/>
    <w:p w:rsidR="00370627" w:rsidRDefault="00370627" w:rsidP="00370627"/>
    <w:p w:rsidR="00370627" w:rsidRDefault="00370627" w:rsidP="00370627"/>
    <w:p w:rsidR="00370627" w:rsidRDefault="00370627" w:rsidP="00370627"/>
    <w:p w:rsidR="00370627" w:rsidRDefault="00370627" w:rsidP="00370627"/>
    <w:p w:rsidR="0006305F" w:rsidRPr="00622185" w:rsidRDefault="0006305F" w:rsidP="00622185">
      <w:pPr>
        <w:pStyle w:val="Prrafodelista"/>
        <w:numPr>
          <w:ilvl w:val="0"/>
          <w:numId w:val="13"/>
        </w:numPr>
        <w:spacing w:after="160" w:line="259" w:lineRule="auto"/>
        <w:rPr>
          <w:rFonts w:cs="Times New Roman"/>
        </w:rPr>
      </w:pPr>
      <w:r w:rsidRPr="00622185">
        <w:rPr>
          <w:rFonts w:cs="Times New Roman"/>
        </w:rPr>
        <w:t>A partir de los datos proporcionados por el INDEC-Censo 2010:</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Calcule la densidad poblacional de cada departamento de la provincia;</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Interprete los resultados obtenidos, teniendo en cuenta el agrupamiento de departamentos por zonas (central, pericentral y periférica).</w:t>
      </w:r>
    </w:p>
    <w:tbl>
      <w:tblPr>
        <w:tblStyle w:val="Tablaconcuadrcula"/>
        <w:tblW w:w="0" w:type="auto"/>
        <w:jc w:val="center"/>
        <w:tblLook w:val="0000" w:firstRow="0" w:lastRow="0" w:firstColumn="0" w:lastColumn="0" w:noHBand="0" w:noVBand="0"/>
      </w:tblPr>
      <w:tblGrid>
        <w:gridCol w:w="1646"/>
        <w:gridCol w:w="1115"/>
        <w:gridCol w:w="1126"/>
        <w:gridCol w:w="1918"/>
      </w:tblGrid>
      <w:tr w:rsidR="0006305F" w:rsidRPr="0006305F" w:rsidTr="0067759E">
        <w:trPr>
          <w:trHeight w:val="105"/>
          <w:jc w:val="center"/>
        </w:trPr>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Departamentos</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Población</w:t>
            </w:r>
          </w:p>
        </w:tc>
        <w:tc>
          <w:tcPr>
            <w:tcW w:w="0" w:type="auto"/>
          </w:tcPr>
          <w:p w:rsidR="0006305F" w:rsidRDefault="0006305F" w:rsidP="0067759E">
            <w:pPr>
              <w:pStyle w:val="Default"/>
              <w:jc w:val="center"/>
              <w:rPr>
                <w:rFonts w:asciiTheme="minorHAnsi" w:hAnsiTheme="minorHAnsi" w:cs="Times New Roman"/>
                <w:b/>
                <w:bCs/>
                <w:sz w:val="22"/>
                <w:szCs w:val="22"/>
              </w:rPr>
            </w:pPr>
            <w:r w:rsidRPr="0006305F">
              <w:rPr>
                <w:rFonts w:asciiTheme="minorHAnsi" w:hAnsiTheme="minorHAnsi" w:cs="Times New Roman"/>
                <w:b/>
                <w:bCs/>
                <w:sz w:val="22"/>
                <w:szCs w:val="22"/>
              </w:rPr>
              <w:t>Superficie</w:t>
            </w:r>
          </w:p>
          <w:p w:rsidR="00F76E2D" w:rsidRPr="00F76E2D" w:rsidRDefault="00F76E2D" w:rsidP="0067759E">
            <w:pPr>
              <w:pStyle w:val="Default"/>
              <w:jc w:val="center"/>
              <w:rPr>
                <w:rFonts w:asciiTheme="minorHAnsi" w:hAnsiTheme="minorHAnsi" w:cs="Times New Roman"/>
                <w:sz w:val="22"/>
                <w:szCs w:val="22"/>
              </w:rPr>
            </w:pPr>
            <w:r>
              <w:rPr>
                <w:rFonts w:asciiTheme="minorHAnsi" w:hAnsiTheme="minorHAnsi" w:cs="Times New Roman"/>
                <w:b/>
                <w:bCs/>
                <w:sz w:val="22"/>
                <w:szCs w:val="22"/>
              </w:rPr>
              <w:lastRenderedPageBreak/>
              <w:t>Km</w:t>
            </w:r>
            <w:r>
              <w:rPr>
                <w:rFonts w:asciiTheme="minorHAnsi" w:hAnsiTheme="minorHAnsi" w:cs="Times New Roman"/>
                <w:b/>
                <w:bCs/>
                <w:sz w:val="22"/>
                <w:szCs w:val="22"/>
                <w:vertAlign w:val="superscript"/>
              </w:rPr>
              <w:t>2</w:t>
            </w:r>
          </w:p>
        </w:tc>
        <w:tc>
          <w:tcPr>
            <w:tcW w:w="0" w:type="auto"/>
          </w:tcPr>
          <w:p w:rsidR="0006305F" w:rsidRPr="0006305F" w:rsidRDefault="0006305F" w:rsidP="0067759E">
            <w:pPr>
              <w:pStyle w:val="Default"/>
              <w:jc w:val="center"/>
              <w:rPr>
                <w:rFonts w:asciiTheme="minorHAnsi" w:hAnsiTheme="minorHAnsi" w:cs="Times New Roman"/>
                <w:b/>
                <w:sz w:val="22"/>
                <w:szCs w:val="22"/>
              </w:rPr>
            </w:pPr>
            <w:r w:rsidRPr="0006305F">
              <w:rPr>
                <w:rFonts w:asciiTheme="minorHAnsi" w:hAnsiTheme="minorHAnsi" w:cs="Times New Roman"/>
                <w:b/>
                <w:sz w:val="22"/>
                <w:szCs w:val="22"/>
              </w:rPr>
              <w:lastRenderedPageBreak/>
              <w:t>Densidad hab/km²</w:t>
            </w:r>
          </w:p>
          <w:p w:rsidR="0006305F" w:rsidRPr="0006305F" w:rsidRDefault="0006305F" w:rsidP="0067759E">
            <w:pPr>
              <w:pStyle w:val="Default"/>
              <w:jc w:val="center"/>
              <w:rPr>
                <w:rFonts w:asciiTheme="minorHAnsi" w:hAnsiTheme="minorHAnsi" w:cs="Times New Roman"/>
                <w:b/>
                <w:bCs/>
                <w:sz w:val="22"/>
                <w:szCs w:val="22"/>
              </w:rPr>
            </w:pP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lastRenderedPageBreak/>
              <w:t xml:space="preserve">Albardón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23.888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945</w:t>
            </w:r>
          </w:p>
        </w:tc>
        <w:tc>
          <w:tcPr>
            <w:tcW w:w="0" w:type="auto"/>
          </w:tcPr>
          <w:p w:rsidR="0006305F" w:rsidRPr="0006305F" w:rsidRDefault="00565677" w:rsidP="0067759E">
            <w:pPr>
              <w:pStyle w:val="Default"/>
              <w:rPr>
                <w:rFonts w:asciiTheme="minorHAnsi" w:hAnsiTheme="minorHAnsi" w:cs="Times New Roman"/>
                <w:sz w:val="22"/>
                <w:szCs w:val="22"/>
              </w:rPr>
            </w:pPr>
            <w:r>
              <w:rPr>
                <w:rFonts w:asciiTheme="minorHAnsi" w:hAnsiTheme="minorHAnsi" w:cs="Times New Roman"/>
                <w:sz w:val="22"/>
                <w:szCs w:val="22"/>
              </w:rPr>
              <w:t>0.025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Angaco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8.125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1.865</w:t>
            </w:r>
          </w:p>
        </w:tc>
        <w:tc>
          <w:tcPr>
            <w:tcW w:w="0" w:type="auto"/>
          </w:tcPr>
          <w:p w:rsidR="0006305F" w:rsidRPr="0006305F" w:rsidRDefault="00565677" w:rsidP="0067759E">
            <w:pPr>
              <w:pStyle w:val="Default"/>
              <w:rPr>
                <w:rFonts w:asciiTheme="minorHAnsi" w:hAnsiTheme="minorHAnsi" w:cs="Times New Roman"/>
                <w:sz w:val="22"/>
                <w:szCs w:val="22"/>
              </w:rPr>
            </w:pPr>
            <w:r>
              <w:rPr>
                <w:rFonts w:asciiTheme="minorHAnsi" w:hAnsiTheme="minorHAnsi" w:cs="Times New Roman"/>
                <w:sz w:val="22"/>
                <w:szCs w:val="22"/>
              </w:rPr>
              <w:t>0.004</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Calingasta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8.588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22.589</w:t>
            </w:r>
          </w:p>
        </w:tc>
        <w:tc>
          <w:tcPr>
            <w:tcW w:w="0" w:type="auto"/>
          </w:tcPr>
          <w:p w:rsidR="0006305F" w:rsidRPr="0006305F" w:rsidRDefault="00565677" w:rsidP="0067759E">
            <w:pPr>
              <w:pStyle w:val="Default"/>
              <w:rPr>
                <w:rFonts w:asciiTheme="minorHAnsi" w:hAnsiTheme="minorHAnsi" w:cs="Times New Roman"/>
                <w:sz w:val="22"/>
                <w:szCs w:val="22"/>
              </w:rPr>
            </w:pPr>
            <w:r>
              <w:rPr>
                <w:rFonts w:asciiTheme="minorHAnsi" w:hAnsiTheme="minorHAnsi" w:cs="Times New Roman"/>
                <w:sz w:val="22"/>
                <w:szCs w:val="22"/>
              </w:rPr>
              <w:t>0.380</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Capital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109.123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3.637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Caucete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38.343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7.502</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5.111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Chimbas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87.258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62</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1.407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Iglesia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9.099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19.801</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0.459</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Jáchal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21.730</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14.749</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1.473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9 de Julio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9.307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185</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0.050</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Pocito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53.162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515</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0.103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Rawson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114.168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300</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0.380</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Rivadavia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82.641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157</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0.526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 Martín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11.115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435</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0.025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Santa Lucía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48.087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1.068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Sarmiento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22.131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2.782</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7.955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Ullum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4.886</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4.391</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1.111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Valle Fértil </w:t>
            </w:r>
          </w:p>
        </w:tc>
        <w:tc>
          <w:tcPr>
            <w:tcW w:w="0" w:type="auto"/>
          </w:tcPr>
          <w:p w:rsidR="0006305F" w:rsidRPr="0006305F" w:rsidRDefault="00565677" w:rsidP="0090246B">
            <w:pPr>
              <w:pStyle w:val="Default"/>
              <w:jc w:val="center"/>
              <w:rPr>
                <w:rFonts w:asciiTheme="minorHAnsi" w:hAnsiTheme="minorHAnsi" w:cs="Times New Roman"/>
                <w:sz w:val="22"/>
                <w:szCs w:val="22"/>
              </w:rPr>
            </w:pPr>
            <w:r>
              <w:rPr>
                <w:rFonts w:asciiTheme="minorHAnsi" w:hAnsiTheme="minorHAnsi" w:cs="Times New Roman"/>
                <w:sz w:val="22"/>
                <w:szCs w:val="22"/>
              </w:rPr>
              <w:t>7.222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6.419</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1.125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25 de Mayo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17.119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4.519</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4.150</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Zonda </w:t>
            </w:r>
          </w:p>
        </w:tc>
        <w:tc>
          <w:tcPr>
            <w:tcW w:w="0" w:type="auto"/>
          </w:tcPr>
          <w:p w:rsidR="0006305F" w:rsidRPr="0006305F" w:rsidRDefault="00565677" w:rsidP="0067759E">
            <w:pPr>
              <w:pStyle w:val="Default"/>
              <w:jc w:val="center"/>
              <w:rPr>
                <w:rFonts w:asciiTheme="minorHAnsi" w:hAnsiTheme="minorHAnsi" w:cs="Times New Roman"/>
                <w:sz w:val="22"/>
                <w:szCs w:val="22"/>
              </w:rPr>
            </w:pPr>
            <w:r>
              <w:rPr>
                <w:rFonts w:asciiTheme="minorHAnsi" w:hAnsiTheme="minorHAnsi" w:cs="Times New Roman"/>
                <w:sz w:val="22"/>
                <w:szCs w:val="22"/>
              </w:rPr>
              <w:t>4.863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2.360</w:t>
            </w:r>
          </w:p>
        </w:tc>
        <w:tc>
          <w:tcPr>
            <w:tcW w:w="0" w:type="auto"/>
          </w:tcPr>
          <w:p w:rsidR="0006305F" w:rsidRPr="0006305F" w:rsidRDefault="002E58B5" w:rsidP="0067759E">
            <w:pPr>
              <w:pStyle w:val="Default"/>
              <w:rPr>
                <w:rFonts w:asciiTheme="minorHAnsi" w:hAnsiTheme="minorHAnsi" w:cs="Times New Roman"/>
                <w:sz w:val="22"/>
                <w:szCs w:val="22"/>
              </w:rPr>
            </w:pPr>
            <w:r>
              <w:rPr>
                <w:rFonts w:asciiTheme="minorHAnsi" w:hAnsiTheme="minorHAnsi" w:cs="Times New Roman"/>
                <w:sz w:val="22"/>
                <w:szCs w:val="22"/>
              </w:rPr>
              <w:t>2.060</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Total </w:t>
            </w:r>
          </w:p>
        </w:tc>
        <w:tc>
          <w:tcPr>
            <w:tcW w:w="0" w:type="auto"/>
          </w:tcPr>
          <w:p w:rsidR="0006305F" w:rsidRPr="002E58B5" w:rsidRDefault="002E58B5" w:rsidP="0067759E">
            <w:pPr>
              <w:pStyle w:val="Default"/>
              <w:jc w:val="center"/>
              <w:rPr>
                <w:rFonts w:asciiTheme="minorHAnsi" w:hAnsiTheme="minorHAnsi" w:cs="Times New Roman"/>
                <w:b/>
                <w:sz w:val="22"/>
                <w:szCs w:val="22"/>
              </w:rPr>
            </w:pPr>
            <w:r w:rsidRPr="002E58B5">
              <w:rPr>
                <w:rFonts w:asciiTheme="minorHAnsi" w:hAnsiTheme="minorHAnsi" w:cs="Times New Roman"/>
                <w:b/>
                <w:sz w:val="22"/>
                <w:szCs w:val="22"/>
              </w:rPr>
              <w:t>681.055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89.651</w:t>
            </w:r>
          </w:p>
        </w:tc>
        <w:tc>
          <w:tcPr>
            <w:tcW w:w="0" w:type="auto"/>
          </w:tcPr>
          <w:p w:rsidR="0006305F" w:rsidRPr="0006305F" w:rsidRDefault="002E58B5" w:rsidP="0067759E">
            <w:pPr>
              <w:pStyle w:val="Default"/>
              <w:rPr>
                <w:rFonts w:asciiTheme="minorHAnsi" w:hAnsiTheme="minorHAnsi" w:cs="Times New Roman"/>
                <w:b/>
                <w:bCs/>
                <w:sz w:val="22"/>
                <w:szCs w:val="22"/>
              </w:rPr>
            </w:pPr>
            <w:r>
              <w:rPr>
                <w:rFonts w:asciiTheme="minorHAnsi" w:hAnsiTheme="minorHAnsi" w:cs="Times New Roman"/>
                <w:b/>
                <w:bCs/>
                <w:sz w:val="22"/>
                <w:szCs w:val="22"/>
              </w:rPr>
              <w:t>7.596</w:t>
            </w:r>
          </w:p>
        </w:tc>
      </w:tr>
    </w:tbl>
    <w:p w:rsidR="0006305F" w:rsidRPr="0006305F" w:rsidRDefault="0006305F" w:rsidP="0006305F">
      <w:pPr>
        <w:autoSpaceDE w:val="0"/>
        <w:autoSpaceDN w:val="0"/>
        <w:adjustRightInd w:val="0"/>
        <w:spacing w:after="0" w:line="240" w:lineRule="auto"/>
        <w:jc w:val="center"/>
        <w:rPr>
          <w:rFonts w:cs="Times New Roman"/>
          <w:color w:val="000000"/>
        </w:rPr>
      </w:pPr>
      <w:r w:rsidRPr="0006305F">
        <w:rPr>
          <w:rFonts w:cs="Times New Roman"/>
          <w:color w:val="000000"/>
        </w:rPr>
        <w:t>Fuente: INDEC. Censos Nacionales de Población, Hogares y Viviendas 2010 e Instituto Geográfico Nacional (IGN).</w:t>
      </w:r>
    </w:p>
    <w:p w:rsidR="0006305F" w:rsidRPr="0006305F" w:rsidRDefault="0006305F" w:rsidP="0006305F">
      <w:pPr>
        <w:spacing w:after="160" w:line="259" w:lineRule="auto"/>
        <w:rPr>
          <w:rFonts w:cs="Times New Roman"/>
        </w:rPr>
      </w:pPr>
    </w:p>
    <w:p w:rsidR="0006305F" w:rsidRPr="0006305F" w:rsidRDefault="00622185" w:rsidP="0006305F">
      <w:pPr>
        <w:spacing w:after="0" w:line="240" w:lineRule="auto"/>
        <w:jc w:val="both"/>
        <w:rPr>
          <w:rFonts w:cs="Times New Roman"/>
        </w:rPr>
      </w:pPr>
      <w:r>
        <w:rPr>
          <w:rFonts w:cs="Times New Roman"/>
        </w:rPr>
        <w:t>4.</w:t>
      </w:r>
      <w:r w:rsidR="0006305F" w:rsidRPr="0006305F">
        <w:rPr>
          <w:rFonts w:cs="Times New Roman"/>
        </w:rPr>
        <w:t xml:space="preserve"> Luego de la observación del mapa de densidades de la página del documento de información</w:t>
      </w:r>
      <w:r w:rsidR="00F76E2D">
        <w:rPr>
          <w:rFonts w:cs="Times New Roman"/>
        </w:rPr>
        <w:t xml:space="preserve"> </w:t>
      </w:r>
      <w:r w:rsidR="00F76E2D" w:rsidRPr="00F76E2D">
        <w:rPr>
          <w:rFonts w:cs="Times New Roman"/>
          <w:b/>
          <w:i/>
          <w:u w:val="single"/>
        </w:rPr>
        <w:t>(Distribución de la Población en San Juan)</w:t>
      </w:r>
      <w:r w:rsidR="0006305F" w:rsidRPr="0006305F">
        <w:rPr>
          <w:rFonts w:cs="Times New Roman"/>
        </w:rPr>
        <w:t>, responda:</w:t>
      </w: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 xml:space="preserve"> ¿Dónde se localizan los focos de mayor densidad demográfica? ¿Porqué?;</w:t>
      </w:r>
    </w:p>
    <w:p w:rsidR="00DD2B9D" w:rsidRPr="0006305F" w:rsidRDefault="00DD2B9D" w:rsidP="00DD2B9D">
      <w:pPr>
        <w:pStyle w:val="Prrafodelista"/>
        <w:spacing w:after="0" w:line="240" w:lineRule="auto"/>
        <w:jc w:val="both"/>
        <w:rPr>
          <w:rFonts w:cs="Times New Roman"/>
        </w:rPr>
      </w:pPr>
      <w:r>
        <w:rPr>
          <w:rFonts w:cs="Times New Roman"/>
        </w:rPr>
        <w:t>El mayor foco de densidad poblacional s</w:t>
      </w:r>
      <w:r w:rsidR="00552F8F">
        <w:rPr>
          <w:rFonts w:cs="Times New Roman"/>
        </w:rPr>
        <w:t>e destaca en el gran San J</w:t>
      </w:r>
      <w:r>
        <w:rPr>
          <w:rFonts w:cs="Times New Roman"/>
        </w:rPr>
        <w:t>uan</w:t>
      </w:r>
      <w:r w:rsidR="00552F8F">
        <w:rPr>
          <w:rFonts w:cs="Times New Roman"/>
        </w:rPr>
        <w:t xml:space="preserve"> </w:t>
      </w:r>
      <w:r>
        <w:rPr>
          <w:rFonts w:cs="Times New Roman"/>
        </w:rPr>
        <w:t>( Capital, Pocito, Chimbas, Rawson, Rivadavia, Santa Lucia, Nueve de Julio)</w:t>
      </w:r>
      <w:r w:rsidR="00552F8F">
        <w:rPr>
          <w:rFonts w:cs="Times New Roman"/>
        </w:rPr>
        <w:t xml:space="preserve"> esto se debe a los factores físicos y humanos</w:t>
      </w: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¿Cuáles son las zonas donde se encuentran los vacíos demográficos? ¿Qué factores influyen?</w:t>
      </w:r>
    </w:p>
    <w:p w:rsidR="00552F8F" w:rsidRDefault="00552F8F" w:rsidP="00552F8F">
      <w:pPr>
        <w:pStyle w:val="Prrafodelista"/>
        <w:spacing w:after="0" w:line="240" w:lineRule="auto"/>
        <w:jc w:val="both"/>
        <w:rPr>
          <w:rFonts w:cs="Times New Roman"/>
        </w:rPr>
      </w:pPr>
      <w:r>
        <w:rPr>
          <w:rFonts w:cs="Times New Roman"/>
        </w:rPr>
        <w:t>Las zonas donde se encuentran vacíos demográficos son:</w:t>
      </w:r>
    </w:p>
    <w:p w:rsidR="00552F8F" w:rsidRDefault="00552F8F" w:rsidP="00552F8F">
      <w:pPr>
        <w:pStyle w:val="Prrafodelista"/>
        <w:numPr>
          <w:ilvl w:val="0"/>
          <w:numId w:val="15"/>
        </w:numPr>
        <w:spacing w:after="0" w:line="240" w:lineRule="auto"/>
        <w:jc w:val="both"/>
        <w:rPr>
          <w:rFonts w:cs="Times New Roman"/>
        </w:rPr>
      </w:pPr>
      <w:r>
        <w:rPr>
          <w:rFonts w:cs="Times New Roman"/>
        </w:rPr>
        <w:t xml:space="preserve">Las </w:t>
      </w:r>
      <w:r>
        <w:rPr>
          <w:rFonts w:cs="Times New Roman"/>
          <w:b/>
        </w:rPr>
        <w:t>zonas frías</w:t>
      </w:r>
      <w:r>
        <w:rPr>
          <w:rFonts w:cs="Times New Roman"/>
        </w:rPr>
        <w:t>, de ambos hemisferios y áreas limitadas</w:t>
      </w:r>
      <w:r>
        <w:rPr>
          <w:rFonts w:cs="Times New Roman"/>
        </w:rPr>
        <w:t xml:space="preserve"> por la línea de nieves eternas.</w:t>
      </w:r>
    </w:p>
    <w:p w:rsidR="00552F8F" w:rsidRDefault="00552F8F" w:rsidP="00552F8F">
      <w:pPr>
        <w:pStyle w:val="Prrafodelista"/>
        <w:numPr>
          <w:ilvl w:val="0"/>
          <w:numId w:val="15"/>
        </w:numPr>
        <w:spacing w:after="0" w:line="240" w:lineRule="auto"/>
        <w:jc w:val="both"/>
        <w:rPr>
          <w:rFonts w:cs="Times New Roman"/>
        </w:rPr>
      </w:pPr>
      <w:r>
        <w:rPr>
          <w:rFonts w:cs="Times New Roman"/>
        </w:rPr>
        <w:t xml:space="preserve">Las </w:t>
      </w:r>
      <w:r>
        <w:rPr>
          <w:rFonts w:cs="Times New Roman"/>
          <w:b/>
        </w:rPr>
        <w:t>zonas áridas</w:t>
      </w:r>
      <w:r>
        <w:rPr>
          <w:rFonts w:cs="Times New Roman"/>
        </w:rPr>
        <w:t>, sus limitantes están constituidos por la escasez de agua y los suelos carentes de materia orgánica</w:t>
      </w:r>
    </w:p>
    <w:p w:rsidR="00552F8F" w:rsidRDefault="00552F8F" w:rsidP="00552F8F">
      <w:pPr>
        <w:pStyle w:val="Prrafodelista"/>
        <w:numPr>
          <w:ilvl w:val="0"/>
          <w:numId w:val="15"/>
        </w:numPr>
        <w:jc w:val="both"/>
        <w:rPr>
          <w:rFonts w:cs="Times New Roman"/>
        </w:rPr>
      </w:pPr>
      <w:r>
        <w:rPr>
          <w:rFonts w:cs="Times New Roman"/>
        </w:rPr>
        <w:t xml:space="preserve">Las </w:t>
      </w:r>
      <w:r>
        <w:rPr>
          <w:rFonts w:cs="Times New Roman"/>
          <w:b/>
        </w:rPr>
        <w:t>zonas cálidas y húmedas</w:t>
      </w:r>
      <w:r>
        <w:rPr>
          <w:rFonts w:cs="Times New Roman"/>
        </w:rPr>
        <w:t xml:space="preserve">, se encuentran situadas en torno al ecuador. Los elevados porcentajes de humedad, las altas temperaturas y la abundancia de vegetación han sido los factores principales de la escasa ocupación humana. </w:t>
      </w:r>
    </w:p>
    <w:p w:rsidR="00552F8F" w:rsidRPr="0006305F" w:rsidRDefault="00552F8F" w:rsidP="00552F8F">
      <w:pPr>
        <w:pStyle w:val="Prrafodelista"/>
        <w:numPr>
          <w:ilvl w:val="0"/>
          <w:numId w:val="15"/>
        </w:numPr>
        <w:spacing w:after="0" w:line="240" w:lineRule="auto"/>
        <w:jc w:val="both"/>
        <w:rPr>
          <w:rFonts w:cs="Times New Roman"/>
        </w:rPr>
      </w:pPr>
      <w:r>
        <w:rPr>
          <w:rFonts w:cs="Times New Roman"/>
        </w:rPr>
        <w:t xml:space="preserve">Las </w:t>
      </w:r>
      <w:r>
        <w:rPr>
          <w:rFonts w:cs="Times New Roman"/>
          <w:b/>
        </w:rPr>
        <w:t>zonas montañosas</w:t>
      </w:r>
      <w:r>
        <w:rPr>
          <w:rFonts w:cs="Times New Roman"/>
        </w:rPr>
        <w:t>, también constituyen áreas escasamente pobladas, principalmente por el factor de la altura.</w:t>
      </w:r>
    </w:p>
    <w:p w:rsidR="0006305F" w:rsidRPr="0006305F" w:rsidRDefault="0006305F" w:rsidP="0006305F">
      <w:pPr>
        <w:pStyle w:val="Prrafodelista"/>
        <w:spacing w:after="0" w:line="240" w:lineRule="auto"/>
        <w:jc w:val="both"/>
        <w:rPr>
          <w:rFonts w:cs="Times New Roman"/>
        </w:rPr>
      </w:pPr>
    </w:p>
    <w:p w:rsidR="0006305F" w:rsidRPr="0006305F" w:rsidRDefault="0006305F" w:rsidP="0006305F">
      <w:pPr>
        <w:pStyle w:val="Prrafodelista"/>
        <w:spacing w:after="0" w:line="240" w:lineRule="auto"/>
        <w:jc w:val="both"/>
        <w:rPr>
          <w:rFonts w:cs="Times New Roman"/>
        </w:rPr>
      </w:pPr>
    </w:p>
    <w:p w:rsidR="00370627" w:rsidRDefault="00370627" w:rsidP="00DF2029">
      <w:pPr>
        <w:ind w:left="360"/>
        <w:rPr>
          <w:rFonts w:cs="Times New Roman"/>
        </w:rPr>
      </w:pPr>
    </w:p>
    <w:p w:rsidR="00622185" w:rsidRDefault="00622185" w:rsidP="00DF2029">
      <w:pPr>
        <w:ind w:left="360"/>
        <w:rPr>
          <w:rFonts w:cs="Times New Roman"/>
        </w:rPr>
      </w:pPr>
    </w:p>
    <w:p w:rsidR="00622185" w:rsidRDefault="00622185" w:rsidP="00DF2029">
      <w:pPr>
        <w:ind w:left="360"/>
        <w:rPr>
          <w:rFonts w:cs="Times New Roman"/>
        </w:rPr>
      </w:pPr>
    </w:p>
    <w:p w:rsidR="00DF2029" w:rsidRDefault="00DF2029" w:rsidP="00DF2029">
      <w:pPr>
        <w:ind w:left="360"/>
      </w:pPr>
    </w:p>
    <w:p w:rsidR="00370627" w:rsidRPr="00C33095" w:rsidRDefault="00370627" w:rsidP="00370627">
      <w:pPr>
        <w:tabs>
          <w:tab w:val="center" w:pos="4419"/>
          <w:tab w:val="right" w:pos="8838"/>
        </w:tabs>
        <w:spacing w:after="0" w:line="240" w:lineRule="auto"/>
        <w:rPr>
          <w:rFonts w:asciiTheme="majorHAnsi" w:eastAsia="Calibri" w:hAnsiTheme="majorHAnsi" w:cstheme="majorHAnsi"/>
        </w:rPr>
      </w:pPr>
      <w:r w:rsidRPr="00B90F75">
        <w:rPr>
          <w:rFonts w:ascii="Times New Roman" w:eastAsia="Calibri" w:hAnsi="Times New Roman" w:cs="Times New Roman"/>
          <w:b/>
          <w:u w:val="single"/>
        </w:rPr>
        <w:t>Tema</w:t>
      </w:r>
      <w:r w:rsidRPr="00C33095">
        <w:rPr>
          <w:rFonts w:asciiTheme="majorHAnsi" w:eastAsia="Calibri" w:hAnsiTheme="majorHAnsi" w:cstheme="majorHAnsi"/>
          <w:b/>
          <w:u w:val="single"/>
        </w:rPr>
        <w:t>:</w:t>
      </w:r>
      <w:r w:rsidRPr="00C33095">
        <w:rPr>
          <w:rFonts w:asciiTheme="majorHAnsi" w:eastAsia="Calibri" w:hAnsiTheme="majorHAnsi" w:cstheme="majorHAnsi"/>
          <w:b/>
        </w:rPr>
        <w:t xml:space="preserve"> </w:t>
      </w:r>
      <w:r w:rsidRPr="00C33095">
        <w:rPr>
          <w:rFonts w:asciiTheme="majorHAnsi" w:eastAsia="Calibri" w:hAnsiTheme="majorHAnsi" w:cstheme="majorHAnsi"/>
        </w:rPr>
        <w:t xml:space="preserve">Dinámica y estructura de la población de San Juan. </w:t>
      </w:r>
    </w:p>
    <w:p w:rsidR="00370627" w:rsidRPr="00C33095" w:rsidRDefault="00370627" w:rsidP="00370627">
      <w:pPr>
        <w:spacing w:after="0" w:line="240" w:lineRule="auto"/>
        <w:rPr>
          <w:rFonts w:asciiTheme="majorHAnsi" w:eastAsia="Calibri" w:hAnsiTheme="majorHAnsi" w:cstheme="majorHAnsi"/>
          <w:b/>
        </w:rPr>
      </w:pPr>
    </w:p>
    <w:p w:rsidR="00370627" w:rsidRPr="00C33095" w:rsidRDefault="00370627" w:rsidP="00370627">
      <w:pPr>
        <w:numPr>
          <w:ilvl w:val="0"/>
          <w:numId w:val="2"/>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Observen los mapas de natalidad y mortalidad de la provincia de San Juan, y responda:</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departamentos poseen mayores tasas de natalidad? ¿Cuáles son las causas?</w:t>
      </w:r>
    </w:p>
    <w:p w:rsidR="00BC0C26" w:rsidRPr="00C33095" w:rsidRDefault="00BC0C26" w:rsidP="00BC0C26">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225 de mayo, albardón, angaco, san Martin, santa lucia, 9 de julio, pocito, son las zonas con mayor taza de natalidad, esto se debe a la calidad de vida que ofrecen estas zonas y la densidad poblacional que hay</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políticas debería implementar el gobierno provincial en el caso de los departamentos con predominio de población joven?</w:t>
      </w:r>
    </w:p>
    <w:p w:rsidR="00BC0C26" w:rsidRPr="00C33095" w:rsidRDefault="00BC0C26" w:rsidP="00BC0C26">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En mi opinión deberían haber mayor cantidad de escuelas y áreas recreativas para los jóvenes y su desarrollo, darles mayor importancia y protagonismo para el crecimiento de los mismos</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Mencione los departamentos que  poseen un alto porcentaje de mortalidad ¿Cuáles son las causas que están interviniendo?</w:t>
      </w:r>
    </w:p>
    <w:p w:rsidR="00BC0C26" w:rsidRPr="00C33095" w:rsidRDefault="00BC0C26" w:rsidP="00BC0C26">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9 de julio, Caucete, San Martin, Angaco, Albardón, Jachal</w:t>
      </w:r>
      <w:r w:rsidR="002E58B5">
        <w:rPr>
          <w:rFonts w:asciiTheme="majorHAnsi" w:eastAsia="Calibri" w:hAnsiTheme="majorHAnsi" w:cstheme="majorHAnsi"/>
        </w:rPr>
        <w:t>. Esto se ebe a la salud, seguridad, la catidad de gente adulta que hay en las zonas</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proponen para disminuir la tasa de mortalidad en esos departamentos?</w:t>
      </w:r>
    </w:p>
    <w:p w:rsidR="002E58B5" w:rsidRPr="00C33095" w:rsidRDefault="002E58B5" w:rsidP="002E58B5">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Fortalecer</w:t>
      </w:r>
      <w:bookmarkStart w:id="0" w:name="_GoBack"/>
      <w:bookmarkEnd w:id="0"/>
      <w:r>
        <w:rPr>
          <w:rFonts w:asciiTheme="majorHAnsi" w:eastAsia="Calibri" w:hAnsiTheme="majorHAnsi" w:cstheme="majorHAnsi"/>
        </w:rPr>
        <w:t xml:space="preserve"> estas debilidades</w:t>
      </w:r>
    </w:p>
    <w:p w:rsidR="00DF2029" w:rsidRPr="00C33095" w:rsidRDefault="00DF2029" w:rsidP="00370627">
      <w:pPr>
        <w:tabs>
          <w:tab w:val="left" w:pos="3945"/>
        </w:tabs>
        <w:spacing w:after="160" w:line="259" w:lineRule="auto"/>
        <w:jc w:val="center"/>
        <w:rPr>
          <w:rFonts w:asciiTheme="majorHAnsi" w:eastAsia="Calibri" w:hAnsiTheme="majorHAnsi" w:cstheme="majorHAnsi"/>
          <w:b/>
        </w:rPr>
      </w:pP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Natalidad de San Juan- Año 2013</w:t>
      </w:r>
    </w:p>
    <w:p w:rsidR="00370627" w:rsidRPr="00C33095" w:rsidRDefault="00370627" w:rsidP="00370627">
      <w:pPr>
        <w:spacing w:after="160" w:line="259" w:lineRule="auto"/>
        <w:jc w:val="center"/>
        <w:rPr>
          <w:rFonts w:asciiTheme="majorHAnsi" w:eastAsia="Calibri" w:hAnsiTheme="majorHAnsi" w:cstheme="majorHAnsi"/>
        </w:rPr>
      </w:pPr>
      <w:r w:rsidRPr="00C33095">
        <w:rPr>
          <w:rFonts w:asciiTheme="majorHAnsi" w:eastAsia="Calibri" w:hAnsiTheme="majorHAnsi" w:cstheme="majorHAnsi"/>
          <w:noProof/>
          <w:lang w:eastAsia="es-AR"/>
        </w:rPr>
        <w:drawing>
          <wp:anchor distT="0" distB="0" distL="114300" distR="114300" simplePos="0" relativeHeight="251662336" behindDoc="0" locked="0" layoutInCell="1" allowOverlap="1" wp14:anchorId="5926B52C" wp14:editId="3D014B2D">
            <wp:simplePos x="0" y="0"/>
            <wp:positionH relativeFrom="column">
              <wp:posOffset>3701415</wp:posOffset>
            </wp:positionH>
            <wp:positionV relativeFrom="paragraph">
              <wp:posOffset>162560</wp:posOffset>
            </wp:positionV>
            <wp:extent cx="904875" cy="80962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04875" cy="809625"/>
                    </a:xfrm>
                    <a:prstGeom prst="rect">
                      <a:avLst/>
                    </a:prstGeom>
                    <a:noFill/>
                    <a:ln w="9525">
                      <a:noFill/>
                      <a:miter lim="800000"/>
                      <a:headEnd/>
                      <a:tailEnd/>
                    </a:ln>
                  </pic:spPr>
                </pic:pic>
              </a:graphicData>
            </a:graphic>
          </wp:anchor>
        </w:drawing>
      </w:r>
      <w:r w:rsidRPr="00C33095">
        <w:rPr>
          <w:rFonts w:asciiTheme="majorHAnsi" w:eastAsia="Calibri" w:hAnsiTheme="majorHAnsi" w:cstheme="majorHAnsi"/>
          <w:noProof/>
          <w:lang w:eastAsia="es-AR"/>
        </w:rPr>
        <w:drawing>
          <wp:inline distT="0" distB="0" distL="0" distR="0" wp14:anchorId="75ADD04A" wp14:editId="281CAA02">
            <wp:extent cx="3686175" cy="2390775"/>
            <wp:effectExtent l="38100" t="57150" r="123825" b="104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686175" cy="2390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lastRenderedPageBreak/>
        <w:t>Tasa de Mortalidad de San Juan- Año 2013</w:t>
      </w:r>
    </w:p>
    <w:p w:rsidR="00370627" w:rsidRPr="0006305F" w:rsidRDefault="00370627" w:rsidP="00C01F24">
      <w:pPr>
        <w:spacing w:after="160" w:line="259" w:lineRule="auto"/>
        <w:jc w:val="center"/>
      </w:pPr>
      <w:r w:rsidRPr="00B90F75">
        <w:rPr>
          <w:rFonts w:ascii="Times New Roman" w:eastAsia="Calibri" w:hAnsi="Times New Roman" w:cs="Times New Roman"/>
          <w:noProof/>
          <w:lang w:eastAsia="es-AR"/>
        </w:rPr>
        <w:drawing>
          <wp:anchor distT="0" distB="0" distL="114300" distR="114300" simplePos="0" relativeHeight="251661312" behindDoc="0" locked="0" layoutInCell="1" allowOverlap="1" wp14:anchorId="6EB2E3C5" wp14:editId="5FD8DC9F">
            <wp:simplePos x="0" y="0"/>
            <wp:positionH relativeFrom="column">
              <wp:posOffset>3710940</wp:posOffset>
            </wp:positionH>
            <wp:positionV relativeFrom="paragraph">
              <wp:posOffset>173355</wp:posOffset>
            </wp:positionV>
            <wp:extent cx="933450" cy="91440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933450" cy="914400"/>
                    </a:xfrm>
                    <a:prstGeom prst="rect">
                      <a:avLst/>
                    </a:prstGeom>
                    <a:noFill/>
                    <a:ln w="9525">
                      <a:noFill/>
                      <a:miter lim="800000"/>
                      <a:headEnd/>
                      <a:tailEnd/>
                    </a:ln>
                  </pic:spPr>
                </pic:pic>
              </a:graphicData>
            </a:graphic>
          </wp:anchor>
        </w:drawing>
      </w:r>
      <w:r w:rsidRPr="00B90F75">
        <w:rPr>
          <w:rFonts w:ascii="Times New Roman" w:eastAsia="Calibri" w:hAnsi="Times New Roman" w:cs="Times New Roman"/>
          <w:noProof/>
          <w:lang w:eastAsia="es-AR"/>
        </w:rPr>
        <w:drawing>
          <wp:inline distT="0" distB="0" distL="0" distR="0" wp14:anchorId="1D94BADF" wp14:editId="6DD1C132">
            <wp:extent cx="3762375" cy="2457450"/>
            <wp:effectExtent l="38100" t="57150" r="123825"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762375" cy="2457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70627" w:rsidRPr="0006305F" w:rsidSect="008111A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27A" w:rsidRDefault="00E8427A">
      <w:pPr>
        <w:spacing w:after="0" w:line="240" w:lineRule="auto"/>
      </w:pPr>
      <w:r>
        <w:separator/>
      </w:r>
    </w:p>
  </w:endnote>
  <w:endnote w:type="continuationSeparator" w:id="0">
    <w:p w:rsidR="00E8427A" w:rsidRDefault="00E8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766627"/>
      <w:docPartObj>
        <w:docPartGallery w:val="Page Numbers (Bottom of Page)"/>
        <w:docPartUnique/>
      </w:docPartObj>
    </w:sdtPr>
    <w:sdtEndPr/>
    <w:sdtContent>
      <w:p w:rsidR="0008010B" w:rsidRDefault="0006305F">
        <w:pPr>
          <w:pStyle w:val="Piedepgina"/>
          <w:jc w:val="right"/>
        </w:pPr>
        <w:r>
          <w:fldChar w:fldCharType="begin"/>
        </w:r>
        <w:r>
          <w:instrText xml:space="preserve"> PAGE   \* MERGEFORMAT </w:instrText>
        </w:r>
        <w:r>
          <w:fldChar w:fldCharType="separate"/>
        </w:r>
        <w:r w:rsidR="002E58B5">
          <w:rPr>
            <w:noProof/>
          </w:rPr>
          <w:t>5</w:t>
        </w:r>
        <w:r>
          <w:rPr>
            <w:noProof/>
          </w:rPr>
          <w:fldChar w:fldCharType="end"/>
        </w:r>
      </w:p>
    </w:sdtContent>
  </w:sdt>
  <w:p w:rsidR="0008010B" w:rsidRDefault="00E842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27A" w:rsidRDefault="00E8427A">
      <w:pPr>
        <w:spacing w:after="0" w:line="240" w:lineRule="auto"/>
      </w:pPr>
      <w:r>
        <w:separator/>
      </w:r>
    </w:p>
  </w:footnote>
  <w:footnote w:type="continuationSeparator" w:id="0">
    <w:p w:rsidR="00E8427A" w:rsidRDefault="00E84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673" w:rsidRDefault="00DA7673">
    <w:pPr>
      <w:pStyle w:val="Encabezado"/>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DA7673" w:rsidRPr="00546FF3" w:rsidTr="00C66A77">
      <w:trPr>
        <w:trHeight w:val="288"/>
      </w:trPr>
      <w:tc>
        <w:tcPr>
          <w:tcW w:w="7765" w:type="dxa"/>
        </w:tcPr>
        <w:p w:rsidR="00DA7673" w:rsidRPr="00546FF3" w:rsidRDefault="00DA7673" w:rsidP="00DA7673">
          <w:pPr>
            <w:pStyle w:val="Encabezado"/>
            <w:jc w:val="center"/>
            <w:rPr>
              <w:rFonts w:ascii="Cambria" w:hAnsi="Cambria"/>
              <w:sz w:val="36"/>
              <w:szCs w:val="36"/>
            </w:rPr>
          </w:pPr>
          <w:r>
            <w:rPr>
              <w:rFonts w:ascii="Cambria" w:hAnsi="Cambria"/>
              <w:noProof/>
              <w:sz w:val="36"/>
              <w:szCs w:val="36"/>
              <w:lang w:eastAsia="es-AR"/>
            </w:rPr>
            <w:drawing>
              <wp:anchor distT="0" distB="0" distL="114300" distR="114300" simplePos="0" relativeHeight="251659264" behindDoc="1" locked="0" layoutInCell="1" allowOverlap="1" wp14:anchorId="75D63937" wp14:editId="365DF3DC">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rsidR="00DA7673" w:rsidRPr="00546FF3" w:rsidRDefault="00DA7673" w:rsidP="00DA7673">
          <w:pPr>
            <w:pStyle w:val="Encabezado"/>
            <w:jc w:val="center"/>
            <w:rPr>
              <w:rFonts w:ascii="Cambria" w:hAnsi="Cambria"/>
              <w:b/>
              <w:bCs/>
              <w:color w:val="4F81BD"/>
              <w:sz w:val="36"/>
              <w:szCs w:val="36"/>
            </w:rPr>
          </w:pPr>
          <w:r>
            <w:rPr>
              <w:rFonts w:ascii="Cambria" w:hAnsi="Cambria"/>
              <w:b/>
              <w:bCs/>
              <w:sz w:val="36"/>
              <w:szCs w:val="36"/>
            </w:rPr>
            <w:t>2023</w:t>
          </w:r>
        </w:p>
      </w:tc>
    </w:tr>
  </w:tbl>
  <w:p w:rsidR="00DA7673" w:rsidRDefault="00DA7673" w:rsidP="00DA76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4AC"/>
    <w:multiLevelType w:val="hybridMultilevel"/>
    <w:tmpl w:val="72E63BE0"/>
    <w:lvl w:ilvl="0" w:tplc="7004B77C">
      <w:start w:val="1"/>
      <w:numFmt w:val="lowerLetter"/>
      <w:lvlText w:val="%1)"/>
      <w:lvlJc w:val="left"/>
      <w:pPr>
        <w:ind w:left="1080" w:hanging="360"/>
      </w:pPr>
      <w:rPr>
        <w:rFonts w:eastAsia="Times New Roman" w:hint="default"/>
        <w:b/>
        <w:i w:val="0"/>
        <w:color w:val="111111"/>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09FB116B"/>
    <w:multiLevelType w:val="hybridMultilevel"/>
    <w:tmpl w:val="2EB4FD1E"/>
    <w:lvl w:ilvl="0" w:tplc="6F28F51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C1E0BA9"/>
    <w:multiLevelType w:val="hybridMultilevel"/>
    <w:tmpl w:val="D0108694"/>
    <w:lvl w:ilvl="0" w:tplc="70665A2A">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
    <w:nsid w:val="0E1F6F81"/>
    <w:multiLevelType w:val="hybridMultilevel"/>
    <w:tmpl w:val="5010E826"/>
    <w:lvl w:ilvl="0" w:tplc="8D40637E">
      <w:start w:val="3"/>
      <w:numFmt w:val="decimal"/>
      <w:lvlText w:val="%1-"/>
      <w:lvlJc w:val="left"/>
      <w:pPr>
        <w:ind w:left="720" w:hanging="360"/>
      </w:pPr>
      <w:rPr>
        <w:rFonts w:ascii="Times New Roman" w:hAnsi="Times New Roman" w:cs="Times New Roman"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5A62BF8"/>
    <w:multiLevelType w:val="hybridMultilevel"/>
    <w:tmpl w:val="06BC9C16"/>
    <w:lvl w:ilvl="0" w:tplc="72FA44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1DA45179"/>
    <w:multiLevelType w:val="hybridMultilevel"/>
    <w:tmpl w:val="90EE6E82"/>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1FAA63D0"/>
    <w:multiLevelType w:val="hybridMultilevel"/>
    <w:tmpl w:val="2B48C9B2"/>
    <w:lvl w:ilvl="0" w:tplc="4E44FC2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3286BDC"/>
    <w:multiLevelType w:val="hybridMultilevel"/>
    <w:tmpl w:val="37B2EF4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3A0E5CDF"/>
    <w:multiLevelType w:val="hybridMultilevel"/>
    <w:tmpl w:val="D6B202E0"/>
    <w:lvl w:ilvl="0" w:tplc="2C0A0001">
      <w:start w:val="1"/>
      <w:numFmt w:val="bullet"/>
      <w:lvlText w:val=""/>
      <w:lvlJc w:val="left"/>
      <w:pPr>
        <w:ind w:left="1364" w:hanging="360"/>
      </w:pPr>
      <w:rPr>
        <w:rFonts w:ascii="Symbol" w:hAnsi="Symbol" w:hint="default"/>
      </w:rPr>
    </w:lvl>
    <w:lvl w:ilvl="1" w:tplc="2C0A0003" w:tentative="1">
      <w:start w:val="1"/>
      <w:numFmt w:val="bullet"/>
      <w:lvlText w:val="o"/>
      <w:lvlJc w:val="left"/>
      <w:pPr>
        <w:ind w:left="2084" w:hanging="360"/>
      </w:pPr>
      <w:rPr>
        <w:rFonts w:ascii="Courier New" w:hAnsi="Courier New" w:cs="Courier New" w:hint="default"/>
      </w:rPr>
    </w:lvl>
    <w:lvl w:ilvl="2" w:tplc="2C0A0005" w:tentative="1">
      <w:start w:val="1"/>
      <w:numFmt w:val="bullet"/>
      <w:lvlText w:val=""/>
      <w:lvlJc w:val="left"/>
      <w:pPr>
        <w:ind w:left="2804" w:hanging="360"/>
      </w:pPr>
      <w:rPr>
        <w:rFonts w:ascii="Wingdings" w:hAnsi="Wingdings" w:hint="default"/>
      </w:rPr>
    </w:lvl>
    <w:lvl w:ilvl="3" w:tplc="2C0A0001" w:tentative="1">
      <w:start w:val="1"/>
      <w:numFmt w:val="bullet"/>
      <w:lvlText w:val=""/>
      <w:lvlJc w:val="left"/>
      <w:pPr>
        <w:ind w:left="3524" w:hanging="360"/>
      </w:pPr>
      <w:rPr>
        <w:rFonts w:ascii="Symbol" w:hAnsi="Symbol" w:hint="default"/>
      </w:rPr>
    </w:lvl>
    <w:lvl w:ilvl="4" w:tplc="2C0A0003" w:tentative="1">
      <w:start w:val="1"/>
      <w:numFmt w:val="bullet"/>
      <w:lvlText w:val="o"/>
      <w:lvlJc w:val="left"/>
      <w:pPr>
        <w:ind w:left="4244" w:hanging="360"/>
      </w:pPr>
      <w:rPr>
        <w:rFonts w:ascii="Courier New" w:hAnsi="Courier New" w:cs="Courier New" w:hint="default"/>
      </w:rPr>
    </w:lvl>
    <w:lvl w:ilvl="5" w:tplc="2C0A0005" w:tentative="1">
      <w:start w:val="1"/>
      <w:numFmt w:val="bullet"/>
      <w:lvlText w:val=""/>
      <w:lvlJc w:val="left"/>
      <w:pPr>
        <w:ind w:left="4964" w:hanging="360"/>
      </w:pPr>
      <w:rPr>
        <w:rFonts w:ascii="Wingdings" w:hAnsi="Wingdings" w:hint="default"/>
      </w:rPr>
    </w:lvl>
    <w:lvl w:ilvl="6" w:tplc="2C0A0001" w:tentative="1">
      <w:start w:val="1"/>
      <w:numFmt w:val="bullet"/>
      <w:lvlText w:val=""/>
      <w:lvlJc w:val="left"/>
      <w:pPr>
        <w:ind w:left="5684" w:hanging="360"/>
      </w:pPr>
      <w:rPr>
        <w:rFonts w:ascii="Symbol" w:hAnsi="Symbol" w:hint="default"/>
      </w:rPr>
    </w:lvl>
    <w:lvl w:ilvl="7" w:tplc="2C0A0003" w:tentative="1">
      <w:start w:val="1"/>
      <w:numFmt w:val="bullet"/>
      <w:lvlText w:val="o"/>
      <w:lvlJc w:val="left"/>
      <w:pPr>
        <w:ind w:left="6404" w:hanging="360"/>
      </w:pPr>
      <w:rPr>
        <w:rFonts w:ascii="Courier New" w:hAnsi="Courier New" w:cs="Courier New" w:hint="default"/>
      </w:rPr>
    </w:lvl>
    <w:lvl w:ilvl="8" w:tplc="2C0A0005" w:tentative="1">
      <w:start w:val="1"/>
      <w:numFmt w:val="bullet"/>
      <w:lvlText w:val=""/>
      <w:lvlJc w:val="left"/>
      <w:pPr>
        <w:ind w:left="7124" w:hanging="360"/>
      </w:pPr>
      <w:rPr>
        <w:rFonts w:ascii="Wingdings" w:hAnsi="Wingdings" w:hint="default"/>
      </w:rPr>
    </w:lvl>
  </w:abstractNum>
  <w:abstractNum w:abstractNumId="9">
    <w:nsid w:val="40694664"/>
    <w:multiLevelType w:val="hybridMultilevel"/>
    <w:tmpl w:val="05A85EEA"/>
    <w:lvl w:ilvl="0" w:tplc="BBC0314E">
      <w:start w:val="1"/>
      <w:numFmt w:val="lowerLetter"/>
      <w:lvlText w:val="%1)"/>
      <w:lvlJc w:val="left"/>
      <w:pPr>
        <w:ind w:left="927" w:hanging="360"/>
      </w:pPr>
      <w:rPr>
        <w:rFonts w:eastAsia="Times New Roman" w:hint="default"/>
        <w:b w:val="0"/>
        <w:color w:val="111111"/>
        <w:u w:val="none"/>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0">
    <w:nsid w:val="450A5978"/>
    <w:multiLevelType w:val="hybridMultilevel"/>
    <w:tmpl w:val="360E0744"/>
    <w:lvl w:ilvl="0" w:tplc="2C0A0001">
      <w:start w:val="1"/>
      <w:numFmt w:val="bullet"/>
      <w:lvlText w:val=""/>
      <w:lvlJc w:val="left"/>
      <w:pPr>
        <w:ind w:left="1485" w:hanging="360"/>
      </w:pPr>
      <w:rPr>
        <w:rFonts w:ascii="Symbol" w:hAnsi="Symbol" w:hint="default"/>
      </w:rPr>
    </w:lvl>
    <w:lvl w:ilvl="1" w:tplc="2C0A0003" w:tentative="1">
      <w:start w:val="1"/>
      <w:numFmt w:val="bullet"/>
      <w:lvlText w:val="o"/>
      <w:lvlJc w:val="left"/>
      <w:pPr>
        <w:ind w:left="2205" w:hanging="360"/>
      </w:pPr>
      <w:rPr>
        <w:rFonts w:ascii="Courier New" w:hAnsi="Courier New" w:cs="Courier New" w:hint="default"/>
      </w:rPr>
    </w:lvl>
    <w:lvl w:ilvl="2" w:tplc="2C0A0005" w:tentative="1">
      <w:start w:val="1"/>
      <w:numFmt w:val="bullet"/>
      <w:lvlText w:val=""/>
      <w:lvlJc w:val="left"/>
      <w:pPr>
        <w:ind w:left="2925" w:hanging="360"/>
      </w:pPr>
      <w:rPr>
        <w:rFonts w:ascii="Wingdings" w:hAnsi="Wingdings" w:hint="default"/>
      </w:rPr>
    </w:lvl>
    <w:lvl w:ilvl="3" w:tplc="2C0A0001" w:tentative="1">
      <w:start w:val="1"/>
      <w:numFmt w:val="bullet"/>
      <w:lvlText w:val=""/>
      <w:lvlJc w:val="left"/>
      <w:pPr>
        <w:ind w:left="3645" w:hanging="360"/>
      </w:pPr>
      <w:rPr>
        <w:rFonts w:ascii="Symbol" w:hAnsi="Symbol" w:hint="default"/>
      </w:rPr>
    </w:lvl>
    <w:lvl w:ilvl="4" w:tplc="2C0A0003" w:tentative="1">
      <w:start w:val="1"/>
      <w:numFmt w:val="bullet"/>
      <w:lvlText w:val="o"/>
      <w:lvlJc w:val="left"/>
      <w:pPr>
        <w:ind w:left="4365" w:hanging="360"/>
      </w:pPr>
      <w:rPr>
        <w:rFonts w:ascii="Courier New" w:hAnsi="Courier New" w:cs="Courier New" w:hint="default"/>
      </w:rPr>
    </w:lvl>
    <w:lvl w:ilvl="5" w:tplc="2C0A0005" w:tentative="1">
      <w:start w:val="1"/>
      <w:numFmt w:val="bullet"/>
      <w:lvlText w:val=""/>
      <w:lvlJc w:val="left"/>
      <w:pPr>
        <w:ind w:left="5085" w:hanging="360"/>
      </w:pPr>
      <w:rPr>
        <w:rFonts w:ascii="Wingdings" w:hAnsi="Wingdings" w:hint="default"/>
      </w:rPr>
    </w:lvl>
    <w:lvl w:ilvl="6" w:tplc="2C0A0001" w:tentative="1">
      <w:start w:val="1"/>
      <w:numFmt w:val="bullet"/>
      <w:lvlText w:val=""/>
      <w:lvlJc w:val="left"/>
      <w:pPr>
        <w:ind w:left="5805" w:hanging="360"/>
      </w:pPr>
      <w:rPr>
        <w:rFonts w:ascii="Symbol" w:hAnsi="Symbol" w:hint="default"/>
      </w:rPr>
    </w:lvl>
    <w:lvl w:ilvl="7" w:tplc="2C0A0003" w:tentative="1">
      <w:start w:val="1"/>
      <w:numFmt w:val="bullet"/>
      <w:lvlText w:val="o"/>
      <w:lvlJc w:val="left"/>
      <w:pPr>
        <w:ind w:left="6525" w:hanging="360"/>
      </w:pPr>
      <w:rPr>
        <w:rFonts w:ascii="Courier New" w:hAnsi="Courier New" w:cs="Courier New" w:hint="default"/>
      </w:rPr>
    </w:lvl>
    <w:lvl w:ilvl="8" w:tplc="2C0A0005" w:tentative="1">
      <w:start w:val="1"/>
      <w:numFmt w:val="bullet"/>
      <w:lvlText w:val=""/>
      <w:lvlJc w:val="left"/>
      <w:pPr>
        <w:ind w:left="7245" w:hanging="360"/>
      </w:pPr>
      <w:rPr>
        <w:rFonts w:ascii="Wingdings" w:hAnsi="Wingdings" w:hint="default"/>
      </w:rPr>
    </w:lvl>
  </w:abstractNum>
  <w:abstractNum w:abstractNumId="11">
    <w:nsid w:val="570768E9"/>
    <w:multiLevelType w:val="hybridMultilevel"/>
    <w:tmpl w:val="990289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5A274DC8"/>
    <w:multiLevelType w:val="hybridMultilevel"/>
    <w:tmpl w:val="23AA7E9A"/>
    <w:lvl w:ilvl="0" w:tplc="B2B8E5C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3ED55A1"/>
    <w:multiLevelType w:val="hybridMultilevel"/>
    <w:tmpl w:val="BE9A988A"/>
    <w:lvl w:ilvl="0" w:tplc="7BA0289A">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2C00FBB"/>
    <w:multiLevelType w:val="hybridMultilevel"/>
    <w:tmpl w:val="74A0B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4"/>
  </w:num>
  <w:num w:numId="4">
    <w:abstractNumId w:val="3"/>
  </w:num>
  <w:num w:numId="5">
    <w:abstractNumId w:val="0"/>
  </w:num>
  <w:num w:numId="6">
    <w:abstractNumId w:val="14"/>
  </w:num>
  <w:num w:numId="7">
    <w:abstractNumId w:val="11"/>
  </w:num>
  <w:num w:numId="8">
    <w:abstractNumId w:val="13"/>
  </w:num>
  <w:num w:numId="9">
    <w:abstractNumId w:val="2"/>
  </w:num>
  <w:num w:numId="10">
    <w:abstractNumId w:val="9"/>
  </w:num>
  <w:num w:numId="11">
    <w:abstractNumId w:val="7"/>
  </w:num>
  <w:num w:numId="12">
    <w:abstractNumId w:val="5"/>
  </w:num>
  <w:num w:numId="13">
    <w:abstractNumId w:val="1"/>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5F"/>
    <w:rsid w:val="0006305F"/>
    <w:rsid w:val="000B6962"/>
    <w:rsid w:val="00100B37"/>
    <w:rsid w:val="001D0757"/>
    <w:rsid w:val="002E58B5"/>
    <w:rsid w:val="00370627"/>
    <w:rsid w:val="00552F8F"/>
    <w:rsid w:val="00565677"/>
    <w:rsid w:val="00622185"/>
    <w:rsid w:val="0065077A"/>
    <w:rsid w:val="00840ADE"/>
    <w:rsid w:val="0090246B"/>
    <w:rsid w:val="009C7B62"/>
    <w:rsid w:val="00A00D6C"/>
    <w:rsid w:val="00BC0C26"/>
    <w:rsid w:val="00C01F24"/>
    <w:rsid w:val="00C2765C"/>
    <w:rsid w:val="00C33095"/>
    <w:rsid w:val="00DA7673"/>
    <w:rsid w:val="00DD2B9D"/>
    <w:rsid w:val="00DF2029"/>
    <w:rsid w:val="00E67576"/>
    <w:rsid w:val="00E8427A"/>
    <w:rsid w:val="00F60F34"/>
    <w:rsid w:val="00F76E2D"/>
    <w:rsid w:val="00FD1A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5D4E0-56E2-4DC6-A7D8-EA040F86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0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05F"/>
    <w:pPr>
      <w:ind w:left="720"/>
      <w:contextualSpacing/>
    </w:pPr>
  </w:style>
  <w:style w:type="paragraph" w:customStyle="1" w:styleId="Default">
    <w:name w:val="Default"/>
    <w:rsid w:val="0006305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063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05F"/>
  </w:style>
  <w:style w:type="table" w:styleId="Tablaconcuadrcula">
    <w:name w:val="Table Grid"/>
    <w:basedOn w:val="Tablanormal"/>
    <w:uiPriority w:val="39"/>
    <w:rsid w:val="0006305F"/>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A7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76107">
      <w:bodyDiv w:val="1"/>
      <w:marLeft w:val="0"/>
      <w:marRight w:val="0"/>
      <w:marTop w:val="0"/>
      <w:marBottom w:val="0"/>
      <w:divBdr>
        <w:top w:val="none" w:sz="0" w:space="0" w:color="auto"/>
        <w:left w:val="none" w:sz="0" w:space="0" w:color="auto"/>
        <w:bottom w:val="none" w:sz="0" w:space="0" w:color="auto"/>
        <w:right w:val="none" w:sz="0" w:space="0" w:color="auto"/>
      </w:divBdr>
    </w:div>
    <w:div w:id="14301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5464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Usuario de Windows</cp:lastModifiedBy>
  <cp:revision>2</cp:revision>
  <dcterms:created xsi:type="dcterms:W3CDTF">2023-11-22T01:16:00Z</dcterms:created>
  <dcterms:modified xsi:type="dcterms:W3CDTF">2023-11-22T01:16:00Z</dcterms:modified>
</cp:coreProperties>
</file>