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2024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>: Jessica Cosma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1° “Primera”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Adolescencia en el Mundo Actual.</w:t>
      </w:r>
    </w:p>
    <w:p>
      <w:pPr>
        <w:spacing w:after="155" w:line="259" w:lineRule="auto"/>
        <w:ind w:left="0" w:firstLine="0"/>
        <w:jc w:val="left"/>
        <w:rPr>
          <w:lang w:val="es-AR"/>
        </w:rPr>
      </w:pPr>
      <w:r>
        <w:rPr>
          <w:lang w:val="es-AR"/>
        </w:rPr>
        <w:t xml:space="preserve"> </w:t>
      </w: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 xml:space="preserve">UNIDAD 1: La nueva Escuela Secundaria Obligatoria.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El derecho a la educación. Ley Nacional de Educación 26.206. Claves para un aprendizaje eficaz. Organización Semanal. La agenda. Mi estilo de aprendizaje. Percepción dominante. Predominancia hemisférica. Inteligencias Múltiples.</w:t>
      </w: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2: El oficio de estudiar y aprender.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Las actitudes y hábitos de estudio. ¿Qué y cuáles son las técnicas de estudio?  Subrayado. Resumen. Esquemas. Tipos de esquemas. Las condiciones ideales para estudiar en casa. Interpretando consignas.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III. Rasgos de identidad del adolescente actual.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Ser adolescente en el Siglo XXI. Temores adolescentes. Definición de Adolescencia. Cambios psicológicos y sociales en la adolescencia. Definición de Autoestima. ¿Qué es la Autoestima? Claves para mejorarla. Modelos. La rueda de la vida. La idealización del cuerpo adolescente.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  <w:t xml:space="preserve"> </w:t>
      </w: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IV. Rasgos culturales del adolescente.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¿Qué son las redes sociales? Los Adolescentes y las redes sociales. Los riesgos. La Amistad: Un Tesoro.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únicamente en forma oral. Aprobará con la calificación de 6 (seis).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lastRenderedPageBreak/>
        <w:t>Bibliografía del Estudiante</w:t>
      </w: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 </w:t>
      </w:r>
      <w:r>
        <w:rPr>
          <w:rFonts w:ascii="Nirmala UI Semilight" w:hAnsi="Nirmala UI Semilight" w:cs="Nirmala UI Semilight"/>
          <w:sz w:val="28"/>
          <w:szCs w:val="28"/>
          <w:lang w:val="es-AR"/>
        </w:rPr>
        <w:tab/>
      </w:r>
      <w:bookmarkStart w:id="0" w:name="_Hlk132449977"/>
    </w:p>
    <w:p>
      <w:pPr>
        <w:pStyle w:val="Textoindependiente"/>
        <w:numPr>
          <w:ilvl w:val="0"/>
          <w:numId w:val="4"/>
        </w:numPr>
        <w:rPr>
          <w:rFonts w:ascii="Nirmala UI Semilight" w:hAnsi="Nirmala UI Semilight" w:cs="Nirmala UI Semilight"/>
          <w:bCs/>
          <w:sz w:val="24"/>
          <w:szCs w:val="24"/>
        </w:rPr>
      </w:pPr>
      <w:r>
        <w:rPr>
          <w:rFonts w:ascii="Nirmala UI Semilight" w:hAnsi="Nirmala UI Semilight" w:cs="Nirmala UI Semilight"/>
          <w:bCs/>
          <w:sz w:val="24"/>
          <w:szCs w:val="24"/>
        </w:rPr>
        <w:t xml:space="preserve">Cuadernillo de “Adolescencia en el Mundo Actual” 2024. Disponible en la </w:t>
      </w:r>
      <w:bookmarkStart w:id="1" w:name="_GoBack"/>
      <w:bookmarkEnd w:id="1"/>
      <w:r>
        <w:rPr>
          <w:rFonts w:ascii="Nirmala UI Semilight" w:hAnsi="Nirmala UI Semilight" w:cs="Nirmala UI Semilight"/>
          <w:bCs/>
          <w:sz w:val="24"/>
          <w:szCs w:val="24"/>
        </w:rPr>
        <w:t>Librería “Alvear”.</w:t>
      </w:r>
    </w:p>
    <w:bookmarkEnd w:id="0"/>
    <w:p>
      <w:pPr>
        <w:spacing w:after="0" w:line="259" w:lineRule="auto"/>
        <w:ind w:left="0" w:firstLine="0"/>
        <w:jc w:val="left"/>
        <w:rPr>
          <w:lang w:val="es-AR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ind w:left="0" w:firstLine="0"/>
      <w:rPr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37378"/>
    <w:multiLevelType w:val="hybridMultilevel"/>
    <w:tmpl w:val="6F3AA1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Lenovo</cp:lastModifiedBy>
  <cp:revision>10</cp:revision>
  <dcterms:created xsi:type="dcterms:W3CDTF">2023-04-10T21:23:00Z</dcterms:created>
  <dcterms:modified xsi:type="dcterms:W3CDTF">2024-04-13T17:25:00Z</dcterms:modified>
</cp:coreProperties>
</file>