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B2" w:rsidRPr="00081744" w:rsidRDefault="00B637B2" w:rsidP="00B637B2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81744">
        <w:rPr>
          <w:rFonts w:cstheme="minorHAnsi"/>
          <w:b/>
          <w:color w:val="000000" w:themeColor="text1"/>
          <w:sz w:val="28"/>
          <w:szCs w:val="28"/>
        </w:rPr>
        <w:t>Actividad Virtual  N1</w:t>
      </w:r>
    </w:p>
    <w:p w:rsidR="00B637B2" w:rsidRPr="0080354E" w:rsidRDefault="00B637B2" w:rsidP="00B637B2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Área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Educación Física</w:t>
      </w:r>
    </w:p>
    <w:p w:rsidR="00B637B2" w:rsidRPr="0080354E" w:rsidRDefault="00B637B2" w:rsidP="00B637B2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Profesores</w:t>
      </w:r>
      <w:r w:rsidRPr="0080354E">
        <w:rPr>
          <w:rFonts w:cstheme="minorHAnsi"/>
          <w:b/>
          <w:color w:val="000000" w:themeColor="text1"/>
          <w:sz w:val="24"/>
          <w:szCs w:val="24"/>
        </w:rPr>
        <w:t>: Alejandra Laciar y Juan P. Garcia.</w:t>
      </w:r>
    </w:p>
    <w:p w:rsidR="00B637B2" w:rsidRPr="0080354E" w:rsidRDefault="00B637B2" w:rsidP="00B637B2">
      <w:pPr>
        <w:rPr>
          <w:rFonts w:eastAsia="DFPOP1-W9" w:cstheme="minorHAnsi"/>
          <w:b/>
          <w:sz w:val="24"/>
          <w:szCs w:val="24"/>
          <w:u w:val="single"/>
        </w:rPr>
      </w:pPr>
      <w:r>
        <w:rPr>
          <w:rFonts w:eastAsia="DFPOP1-W9" w:cstheme="minorHAnsi"/>
          <w:b/>
          <w:sz w:val="24"/>
          <w:szCs w:val="24"/>
          <w:u w:val="single"/>
        </w:rPr>
        <w:t xml:space="preserve">Tercer </w:t>
      </w:r>
      <w:r w:rsidRPr="0080354E">
        <w:rPr>
          <w:rFonts w:eastAsia="DFPOP1-W9" w:cstheme="minorHAnsi"/>
          <w:b/>
          <w:sz w:val="24"/>
          <w:szCs w:val="24"/>
          <w:u w:val="single"/>
        </w:rPr>
        <w:t>grado</w:t>
      </w:r>
    </w:p>
    <w:p w:rsidR="00B637B2" w:rsidRDefault="00B637B2" w:rsidP="00B637B2">
      <w:pPr>
        <w:rPr>
          <w:rFonts w:cstheme="minorHAnsi"/>
          <w:b/>
          <w:color w:val="000000" w:themeColor="text1"/>
          <w:sz w:val="24"/>
          <w:szCs w:val="24"/>
        </w:rPr>
      </w:pPr>
      <w:r w:rsidRPr="0080354E">
        <w:rPr>
          <w:rFonts w:cstheme="minorHAnsi"/>
          <w:b/>
          <w:color w:val="000000" w:themeColor="text1"/>
          <w:sz w:val="24"/>
          <w:szCs w:val="24"/>
          <w:u w:val="single"/>
        </w:rPr>
        <w:t>Tema</w:t>
      </w:r>
      <w:r w:rsidRPr="0080354E">
        <w:rPr>
          <w:rFonts w:cstheme="minorHAnsi"/>
          <w:b/>
          <w:color w:val="000000" w:themeColor="text1"/>
          <w:sz w:val="24"/>
          <w:szCs w:val="24"/>
        </w:rPr>
        <w:t>:</w:t>
      </w:r>
      <w:r w:rsidR="00555296">
        <w:rPr>
          <w:rFonts w:cstheme="minorHAnsi"/>
          <w:b/>
          <w:color w:val="000000" w:themeColor="text1"/>
          <w:sz w:val="24"/>
          <w:szCs w:val="24"/>
        </w:rPr>
        <w:t xml:space="preserve"> posiciones y ajuste de trayectorias de sí mismo y los otros, en el espacio y tiempo: </w:t>
      </w:r>
      <w:r w:rsidRPr="0080354E">
        <w:rPr>
          <w:rFonts w:cstheme="minorHAnsi"/>
          <w:b/>
          <w:color w:val="000000" w:themeColor="text1"/>
          <w:sz w:val="24"/>
          <w:szCs w:val="24"/>
        </w:rPr>
        <w:t>"</w:t>
      </w:r>
      <w:r w:rsidR="00555296">
        <w:rPr>
          <w:rFonts w:cstheme="minorHAnsi"/>
          <w:b/>
          <w:color w:val="000000" w:themeColor="text1"/>
          <w:sz w:val="24"/>
          <w:szCs w:val="24"/>
        </w:rPr>
        <w:t>Desfile"</w:t>
      </w:r>
    </w:p>
    <w:p w:rsidR="00B637B2" w:rsidRPr="00555296" w:rsidRDefault="00B637B2" w:rsidP="00B637B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924050" cy="2377440"/>
            <wp:effectExtent l="19050" t="0" r="0" b="0"/>
            <wp:docPr id="1" name="Imagen 1" descr="Arriscado tempo de vida Volte que es fila en educacion fisica quadro,  Armação Exclusivo Apart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scado tempo de vida Volte que es fila en educacion fisica quadro,  Armação Exclusivo Apartamen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7B2" w:rsidRDefault="00B637B2" w:rsidP="00B637B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Actividades</w:t>
      </w:r>
    </w:p>
    <w:p w:rsidR="00B637B2" w:rsidRPr="00BE6DFB" w:rsidRDefault="00B637B2" w:rsidP="00B637B2">
      <w:pPr>
        <w:pStyle w:val="Prrafodelista"/>
        <w:numPr>
          <w:ilvl w:val="0"/>
          <w:numId w:val="2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 xml:space="preserve">Complete en el cuaderno </w:t>
      </w:r>
    </w:p>
    <w:p w:rsidR="00B637B2" w:rsidRPr="00BE6DFB" w:rsidRDefault="00B637B2" w:rsidP="00B637B2">
      <w:pPr>
        <w:pStyle w:val="Prrafodelista"/>
        <w:ind w:left="780"/>
        <w:rPr>
          <w:rFonts w:eastAsia="DFPOP1-W9" w:cstheme="minorHAnsi"/>
          <w:sz w:val="24"/>
          <w:szCs w:val="24"/>
        </w:rPr>
      </w:pPr>
    </w:p>
    <w:p w:rsidR="00B637B2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F963F8">
        <w:rPr>
          <w:rFonts w:eastAsia="DFPOP1-W9" w:cstheme="minorHAnsi"/>
          <w:sz w:val="24"/>
          <w:szCs w:val="24"/>
        </w:rPr>
        <w:t>¿Cuál es la diferencia entre una fila y una hilera?</w:t>
      </w:r>
    </w:p>
    <w:p w:rsidR="00B637B2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F963F8">
        <w:rPr>
          <w:rFonts w:eastAsia="DFPOP1-W9" w:cstheme="minorHAnsi"/>
          <w:sz w:val="24"/>
          <w:szCs w:val="24"/>
        </w:rPr>
        <w:t>¿Cuáles son algunos ejemplos de filas y hileras en la vida cotidiana?</w:t>
      </w:r>
    </w:p>
    <w:p w:rsidR="00B637B2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F963F8">
        <w:rPr>
          <w:rFonts w:eastAsia="DFPOP1-W9" w:cstheme="minorHAnsi"/>
          <w:sz w:val="24"/>
          <w:szCs w:val="24"/>
        </w:rPr>
        <w:t>organizar objetos en fila</w:t>
      </w:r>
      <w:r>
        <w:rPr>
          <w:rFonts w:eastAsia="DFPOP1-W9" w:cstheme="minorHAnsi"/>
          <w:sz w:val="24"/>
          <w:szCs w:val="24"/>
        </w:rPr>
        <w:t>s y hileras.</w:t>
      </w:r>
    </w:p>
    <w:p w:rsidR="00B637B2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 xml:space="preserve">¿En qué ocasión se </w:t>
      </w:r>
      <w:r w:rsidRPr="00F963F8">
        <w:rPr>
          <w:rFonts w:eastAsia="DFPOP1-W9" w:cstheme="minorHAnsi"/>
          <w:sz w:val="24"/>
          <w:szCs w:val="24"/>
        </w:rPr>
        <w:t xml:space="preserve"> formar filas y hiler</w:t>
      </w:r>
      <w:r>
        <w:rPr>
          <w:rFonts w:eastAsia="DFPOP1-W9" w:cstheme="minorHAnsi"/>
          <w:sz w:val="24"/>
          <w:szCs w:val="24"/>
        </w:rPr>
        <w:t>as</w:t>
      </w:r>
      <w:r w:rsidRPr="00F963F8">
        <w:rPr>
          <w:rFonts w:eastAsia="DFPOP1-W9" w:cstheme="minorHAnsi"/>
          <w:sz w:val="24"/>
          <w:szCs w:val="24"/>
        </w:rPr>
        <w:t xml:space="preserve"> en el colegio?</w:t>
      </w:r>
    </w:p>
    <w:p w:rsidR="00B637B2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 w:rsidRPr="00F963F8">
        <w:rPr>
          <w:rFonts w:eastAsia="DFPOP1-W9" w:cstheme="minorHAnsi"/>
          <w:sz w:val="24"/>
          <w:szCs w:val="24"/>
        </w:rPr>
        <w:t>¿Cuáles son los beneficios de organizar personas u objetos en filas y hileras?</w:t>
      </w:r>
    </w:p>
    <w:p w:rsidR="00B637B2" w:rsidRPr="00F963F8" w:rsidRDefault="00B637B2" w:rsidP="00B637B2">
      <w:pPr>
        <w:pStyle w:val="Prrafodelista"/>
        <w:numPr>
          <w:ilvl w:val="0"/>
          <w:numId w:val="3"/>
        </w:numPr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Marca cual es fila y cual hilera.</w:t>
      </w:r>
    </w:p>
    <w:tbl>
      <w:tblPr>
        <w:tblStyle w:val="Tablaconcuadrcula"/>
        <w:tblW w:w="0" w:type="auto"/>
        <w:tblInd w:w="1500" w:type="dxa"/>
        <w:tblLook w:val="04A0"/>
      </w:tblPr>
      <w:tblGrid>
        <w:gridCol w:w="245"/>
      </w:tblGrid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309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3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</w:tbl>
    <w:p w:rsidR="00B637B2" w:rsidRDefault="00B637B2" w:rsidP="00B637B2">
      <w:pPr>
        <w:pStyle w:val="Prrafodelista"/>
        <w:ind w:left="1500"/>
        <w:rPr>
          <w:rFonts w:eastAsia="DFPOP1-W9"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B637B2" w:rsidTr="004857DA">
        <w:trPr>
          <w:trHeight w:val="255"/>
        </w:trPr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45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</w:tbl>
    <w:p w:rsidR="00B637B2" w:rsidRDefault="00B637B2" w:rsidP="00B637B2">
      <w:pPr>
        <w:pStyle w:val="Prrafodelista"/>
        <w:tabs>
          <w:tab w:val="left" w:pos="2400"/>
        </w:tabs>
        <w:ind w:left="1500"/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ab/>
      </w:r>
      <w:r>
        <w:rPr>
          <w:rFonts w:eastAsia="DFPOP1-W9" w:cstheme="minorHAnsi"/>
          <w:sz w:val="24"/>
          <w:szCs w:val="24"/>
        </w:rPr>
        <w:tab/>
      </w:r>
      <w:r>
        <w:rPr>
          <w:rFonts w:eastAsia="DFPOP1-W9" w:cstheme="minorHAnsi"/>
          <w:sz w:val="24"/>
          <w:szCs w:val="24"/>
        </w:rPr>
        <w:tab/>
      </w:r>
    </w:p>
    <w:p w:rsidR="00B637B2" w:rsidRDefault="00B637B2" w:rsidP="00B637B2">
      <w:pPr>
        <w:pStyle w:val="Prrafodelista"/>
        <w:tabs>
          <w:tab w:val="left" w:pos="2400"/>
        </w:tabs>
        <w:ind w:left="1500"/>
        <w:rPr>
          <w:rFonts w:eastAsia="DFPOP1-W9" w:cstheme="minorHAnsi"/>
          <w:sz w:val="24"/>
          <w:szCs w:val="24"/>
        </w:rPr>
      </w:pPr>
    </w:p>
    <w:p w:rsidR="00B637B2" w:rsidRPr="00F963F8" w:rsidRDefault="00B637B2" w:rsidP="00B637B2">
      <w:pPr>
        <w:pStyle w:val="Prrafodelista"/>
        <w:numPr>
          <w:ilvl w:val="0"/>
          <w:numId w:val="3"/>
        </w:numPr>
        <w:tabs>
          <w:tab w:val="left" w:pos="2400"/>
        </w:tabs>
        <w:rPr>
          <w:rFonts w:eastAsia="DFPOP1-W9" w:cstheme="minorHAnsi"/>
          <w:sz w:val="24"/>
          <w:szCs w:val="24"/>
        </w:rPr>
      </w:pPr>
      <w:r>
        <w:rPr>
          <w:rFonts w:eastAsia="DFPOP1-W9" w:cstheme="minorHAnsi"/>
          <w:sz w:val="24"/>
          <w:szCs w:val="24"/>
        </w:rPr>
        <w:t>Complete la posición</w:t>
      </w:r>
      <w:bookmarkStart w:id="0" w:name="_GoBack"/>
      <w:bookmarkEnd w:id="0"/>
      <w:r>
        <w:rPr>
          <w:rFonts w:eastAsia="DFPOP1-W9" w:cstheme="minorHAnsi"/>
          <w:sz w:val="24"/>
          <w:szCs w:val="24"/>
        </w:rPr>
        <w:t xml:space="preserve"> con la posición que te toca en el ensayo del desfile para el acto de promesa a la bandera</w:t>
      </w:r>
    </w:p>
    <w:tbl>
      <w:tblPr>
        <w:tblStyle w:val="Tablaconcuadrcula"/>
        <w:tblW w:w="0" w:type="auto"/>
        <w:tblInd w:w="1500" w:type="dxa"/>
        <w:tblLook w:val="04A0"/>
      </w:tblPr>
      <w:tblGrid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</w:tblGrid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90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  <w:shd w:val="clear" w:color="auto" w:fill="404040" w:themeFill="text1" w:themeFillTint="BF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Pr="00F963F8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  <w:tr w:rsidR="00B637B2" w:rsidTr="004857DA">
        <w:trPr>
          <w:trHeight w:val="276"/>
        </w:trPr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3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  <w:tc>
          <w:tcPr>
            <w:tcW w:w="274" w:type="dxa"/>
          </w:tcPr>
          <w:p w:rsidR="00B637B2" w:rsidRDefault="00B637B2" w:rsidP="004857DA">
            <w:pPr>
              <w:pStyle w:val="Prrafodelista"/>
              <w:ind w:left="0"/>
              <w:rPr>
                <w:rFonts w:eastAsia="DFPOP1-W9" w:cstheme="minorHAnsi"/>
                <w:sz w:val="24"/>
                <w:szCs w:val="24"/>
              </w:rPr>
            </w:pPr>
          </w:p>
        </w:tc>
      </w:tr>
    </w:tbl>
    <w:p w:rsidR="00221AE6" w:rsidRDefault="00221AE6" w:rsidP="00221AE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21317"/>
          <w:spacing w:val="-4"/>
          <w:kern w:val="36"/>
          <w:sz w:val="32"/>
          <w:szCs w:val="32"/>
          <w:u w:val="single"/>
        </w:rPr>
      </w:pPr>
    </w:p>
    <w:p w:rsidR="00221AE6" w:rsidRPr="00221AE6" w:rsidRDefault="00221AE6" w:rsidP="00221AE6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121317"/>
          <w:spacing w:val="-4"/>
          <w:kern w:val="36"/>
          <w:sz w:val="32"/>
          <w:szCs w:val="32"/>
          <w:u w:val="single"/>
        </w:rPr>
      </w:pPr>
      <w:r w:rsidRPr="00221AE6">
        <w:rPr>
          <w:rFonts w:ascii="Arial" w:eastAsia="Times New Roman" w:hAnsi="Arial" w:cs="Arial"/>
          <w:b/>
          <w:bCs/>
          <w:color w:val="121317"/>
          <w:spacing w:val="-4"/>
          <w:kern w:val="36"/>
          <w:sz w:val="32"/>
          <w:szCs w:val="32"/>
          <w:u w:val="single"/>
        </w:rPr>
        <w:t>Promesa a la Bandera</w:t>
      </w:r>
      <w:r>
        <w:rPr>
          <w:rFonts w:ascii="Arial" w:eastAsia="Times New Roman" w:hAnsi="Arial" w:cs="Arial"/>
          <w:sz w:val="48"/>
          <w:szCs w:val="48"/>
        </w:rPr>
        <w:tab/>
      </w:r>
    </w:p>
    <w:p w:rsidR="00221AE6" w:rsidRPr="00221AE6" w:rsidRDefault="00221AE6" w:rsidP="00221A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21AE6" w:rsidRPr="00221AE6" w:rsidRDefault="00221AE6" w:rsidP="00221AE6">
      <w:pPr>
        <w:spacing w:after="0"/>
        <w:rPr>
          <w:rFonts w:ascii="Arial" w:eastAsia="Times New Roman" w:hAnsi="Arial" w:cs="Arial"/>
          <w:b/>
          <w:bCs/>
          <w:color w:val="121317"/>
          <w:spacing w:val="5"/>
          <w:sz w:val="24"/>
          <w:szCs w:val="24"/>
        </w:rPr>
      </w:pPr>
      <w:r w:rsidRPr="00221AE6">
        <w:rPr>
          <w:rFonts w:ascii="Arial" w:eastAsia="Times New Roman" w:hAnsi="Arial" w:cs="Arial"/>
          <w:b/>
          <w:bCs/>
          <w:color w:val="121317"/>
          <w:spacing w:val="5"/>
          <w:sz w:val="24"/>
          <w:szCs w:val="24"/>
        </w:rPr>
        <w:t>En Argentina los alumnos y las alumnas de cuarto grado realizan la “promesa a la Bandera”.</w:t>
      </w:r>
    </w:p>
    <w:p w:rsidR="00221AE6" w:rsidRPr="00221AE6" w:rsidRDefault="00221AE6" w:rsidP="00221AE6">
      <w:pPr>
        <w:shd w:val="clear" w:color="auto" w:fill="FFFFFF"/>
        <w:spacing w:after="0"/>
        <w:outlineLvl w:val="1"/>
        <w:rPr>
          <w:rFonts w:ascii="Arial" w:eastAsia="Times New Roman" w:hAnsi="Arial" w:cs="Arial"/>
          <w:b/>
          <w:bCs/>
          <w:color w:val="121317"/>
          <w:spacing w:val="-3"/>
          <w:sz w:val="36"/>
          <w:szCs w:val="36"/>
        </w:rPr>
      </w:pPr>
      <w:r w:rsidRPr="00221AE6">
        <w:rPr>
          <w:rFonts w:ascii="Arial" w:eastAsia="Times New Roman" w:hAnsi="Arial" w:cs="Arial"/>
          <w:b/>
          <w:bCs/>
          <w:color w:val="121317"/>
          <w:spacing w:val="-3"/>
          <w:sz w:val="36"/>
          <w:szCs w:val="36"/>
        </w:rPr>
        <w:t>El origen de la promesa a la bandera</w:t>
      </w:r>
    </w:p>
    <w:p w:rsidR="00221AE6" w:rsidRPr="00221AE6" w:rsidRDefault="00221AE6" w:rsidP="00221AE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La promesa a la bandera arraiga en prácticas sociales ancestrales y consiste en una reelaboración del antiguo juramento. La costumbre universal se inspira en el juramento de fidelidad que prestaban las tropas. Por esto,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quién requiere la promesa es una autoridad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en lo posible aquella que tenga la mayor jerarquía de entre los presentes al acto.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La promesa es pública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se concreta ante toda la comunidad educativa y, eventualmente, frente al pueblo en general reunido con ocasión de alguna fecha patria. Se patentiza a partir de una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fórmula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 xml:space="preserve"> que ha ido variando con los tiempos. En 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lastRenderedPageBreak/>
        <w:t>algunas provincias está expresamente prevista en la normativa vigente. En otras, cada entidad puede definirla libremente.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El acto de la promesa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 propiamente dicha es muy sencillo. La autoridad recita la fórmula del caso y los promesantes responden a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viva voz ¡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Sí prometo! Inmediatamente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los asistentes prorrumpen en un caluroso aplauso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como forma de validar la promesa formulada y de sincero apoyo a la decisión manifestada por los pequeños. El énfasis propio de la afirmación se explica en la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completa decisión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 contenida en la expresión.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La promesa se realiza de pie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una posición que denota una atenta disposición para el servicio. Su adopción uniforme por parte de los promesantes indica una humilde decisión de conjunto.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En la mayoría de las provincias los promesantes remarcan su decisión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extendiendo el brazo derecho hacia adelante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en forma más o menos perpendicular a la línea de su cuerpo. Esta posición también tiene un origen antiguo y constituye una recreación del gesto de tocar o besar la bandera que realizaban los soldados al tiempo de jurar. Lo propio ocurre en la mayoría de los juramentos que realizan nuestras autoridades cuando asumen sus funciones.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A consecuencia de que los nazis y fascistas adoptaron la posición del brazo extendido como un saludo a sus líderes fue lógico que durante la Segunda Guerra Mundial el ritual despertara resistencias en los Estados Unidos; por esto en muchas regiones fue reemplazado por el gesto de llevarse la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mano derecha al corazón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, una práctica que también se difundió en nuestro país en el curso de la última década.</w:t>
      </w:r>
    </w:p>
    <w:p w:rsidR="00221AE6" w:rsidRPr="00221AE6" w:rsidRDefault="00221AE6" w:rsidP="00221AE6">
      <w:pPr>
        <w:shd w:val="clear" w:color="auto" w:fill="FFFFFF"/>
        <w:spacing w:after="0"/>
        <w:rPr>
          <w:rFonts w:eastAsia="Times New Roman" w:cstheme="minorHAnsi"/>
          <w:color w:val="000000"/>
          <w:spacing w:val="5"/>
          <w:sz w:val="24"/>
          <w:szCs w:val="24"/>
        </w:rPr>
      </w:pP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Por sus características el acto de la promesa posee una </w:t>
      </w:r>
      <w:r w:rsidRPr="00221AE6">
        <w:rPr>
          <w:rFonts w:eastAsia="Times New Roman" w:cstheme="minorHAnsi"/>
          <w:b/>
          <w:bCs/>
          <w:color w:val="000000"/>
          <w:spacing w:val="5"/>
          <w:sz w:val="24"/>
          <w:szCs w:val="24"/>
        </w:rPr>
        <w:t>emotividad impactante</w:t>
      </w:r>
      <w:r w:rsidRPr="00221AE6">
        <w:rPr>
          <w:rFonts w:eastAsia="Times New Roman" w:cstheme="minorHAnsi"/>
          <w:color w:val="000000"/>
          <w:spacing w:val="5"/>
          <w:sz w:val="24"/>
          <w:szCs w:val="24"/>
        </w:rPr>
        <w:t>. Por lo general los mayores reviven aquella edad en la que ellos mismos formularon la promesa, con toda la inocente e inexpresable belleza que implica verse reflejados en los niños.</w:t>
      </w:r>
    </w:p>
    <w:p w:rsidR="00B637B2" w:rsidRPr="00081744" w:rsidRDefault="00B637B2" w:rsidP="00221AE6">
      <w:pPr>
        <w:jc w:val="center"/>
        <w:rPr>
          <w:rFonts w:cstheme="minorHAnsi"/>
          <w:b/>
          <w:sz w:val="28"/>
          <w:szCs w:val="28"/>
        </w:rPr>
      </w:pPr>
    </w:p>
    <w:p w:rsidR="00286A6D" w:rsidRDefault="00286A6D" w:rsidP="00221AE6">
      <w:pPr>
        <w:ind w:firstLine="708"/>
        <w:jc w:val="center"/>
      </w:pPr>
    </w:p>
    <w:sectPr w:rsidR="00286A6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6D" w:rsidRDefault="00286A6D" w:rsidP="00B637B2">
      <w:pPr>
        <w:spacing w:after="0" w:line="240" w:lineRule="auto"/>
      </w:pPr>
      <w:r>
        <w:separator/>
      </w:r>
    </w:p>
  </w:endnote>
  <w:endnote w:type="continuationSeparator" w:id="1">
    <w:p w:rsidR="00286A6D" w:rsidRDefault="00286A6D" w:rsidP="00B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OP1-W9">
    <w:altName w:val="MS Mincho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6D" w:rsidRDefault="00286A6D" w:rsidP="00B637B2">
      <w:pPr>
        <w:spacing w:after="0" w:line="240" w:lineRule="auto"/>
      </w:pPr>
      <w:r>
        <w:separator/>
      </w:r>
    </w:p>
  </w:footnote>
  <w:footnote w:type="continuationSeparator" w:id="1">
    <w:p w:rsidR="00286A6D" w:rsidRDefault="00286A6D" w:rsidP="00B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B2" w:rsidRPr="00081744" w:rsidRDefault="00B637B2" w:rsidP="00B637B2">
    <w:pPr>
      <w:pStyle w:val="Encabezado"/>
      <w:jc w:val="center"/>
      <w:rPr>
        <w:rFonts w:asciiTheme="majorHAnsi" w:hAnsiTheme="majorHAnsi"/>
        <w:sz w:val="32"/>
        <w:szCs w:val="32"/>
      </w:rPr>
    </w:pPr>
    <w:r>
      <w:tab/>
    </w:r>
    <w:r w:rsidRPr="00081744">
      <w:rPr>
        <w:rFonts w:asciiTheme="majorHAnsi" w:hAnsiTheme="majorHAnsi"/>
        <w:sz w:val="32"/>
        <w:szCs w:val="32"/>
      </w:rPr>
      <w:t>COLEGIO DEL PRADO</w:t>
    </w:r>
    <w:r w:rsidRPr="00081744">
      <w:rPr>
        <w:rFonts w:asciiTheme="majorHAnsi" w:hAnsiTheme="majorHAnsi"/>
        <w:noProof/>
        <w:sz w:val="32"/>
        <w:szCs w:val="32"/>
      </w:rPr>
      <w:drawing>
        <wp:inline distT="0" distB="0" distL="0" distR="0">
          <wp:extent cx="497785" cy="513292"/>
          <wp:effectExtent l="19050" t="0" r="0" b="0"/>
          <wp:docPr id="6" name="Imagen 1" descr="Descripción: No hay ninguna descripción de la f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o hay ninguna descripción de la foto disponib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91" cy="51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1744">
      <w:rPr>
        <w:rFonts w:asciiTheme="majorHAnsi" w:hAnsiTheme="majorHAnsi"/>
        <w:sz w:val="32"/>
        <w:szCs w:val="32"/>
      </w:rPr>
      <w:t xml:space="preserve"> NIVEL PRIMARIO</w:t>
    </w:r>
  </w:p>
  <w:p w:rsidR="00B637B2" w:rsidRPr="00081744" w:rsidRDefault="00B637B2" w:rsidP="00B637B2">
    <w:pPr>
      <w:pStyle w:val="Encabezado"/>
      <w:jc w:val="center"/>
      <w:rPr>
        <w:rFonts w:asciiTheme="majorHAnsi" w:hAnsiTheme="majorHAnsi"/>
        <w:sz w:val="32"/>
        <w:szCs w:val="32"/>
      </w:rPr>
    </w:pPr>
    <w:r w:rsidRPr="00081744">
      <w:rPr>
        <w:rFonts w:asciiTheme="majorHAnsi" w:hAnsiTheme="majorHAnsi"/>
        <w:sz w:val="32"/>
        <w:szCs w:val="32"/>
      </w:rPr>
      <w:t>EDUCACIÓN FÍSICA</w:t>
    </w:r>
  </w:p>
  <w:p w:rsidR="00B637B2" w:rsidRPr="00081744" w:rsidRDefault="00B637B2" w:rsidP="00B637B2">
    <w:pPr>
      <w:pStyle w:val="Encabezado"/>
      <w:jc w:val="center"/>
      <w:rPr>
        <w:rFonts w:asciiTheme="majorHAnsi" w:hAnsiTheme="majorHAnsi"/>
        <w:sz w:val="32"/>
        <w:szCs w:val="32"/>
      </w:rPr>
    </w:pPr>
    <w:r>
      <w:rPr>
        <w:rFonts w:asciiTheme="majorHAnsi" w:hAnsiTheme="majorHAnsi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4.75pt;margin-top:6.2pt;width:433.6pt;height:0;z-index:251658240" o:connectortype="straight"/>
      </w:pict>
    </w:r>
  </w:p>
  <w:p w:rsidR="00B637B2" w:rsidRDefault="00B637B2" w:rsidP="00B637B2">
    <w:pPr>
      <w:pStyle w:val="Encabezado"/>
    </w:pPr>
  </w:p>
  <w:p w:rsidR="00B637B2" w:rsidRDefault="00B637B2" w:rsidP="00B637B2">
    <w:pPr>
      <w:pStyle w:val="Encabezado"/>
      <w:tabs>
        <w:tab w:val="clear" w:pos="4419"/>
        <w:tab w:val="clear" w:pos="8838"/>
        <w:tab w:val="left" w:pos="17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7AD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C1B213D"/>
    <w:multiLevelType w:val="hybridMultilevel"/>
    <w:tmpl w:val="C4CEB3FE"/>
    <w:lvl w:ilvl="0" w:tplc="2C0A0015">
      <w:start w:val="1"/>
      <w:numFmt w:val="upperLetter"/>
      <w:lvlText w:val="%1.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76126D2E"/>
    <w:multiLevelType w:val="multilevel"/>
    <w:tmpl w:val="99D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5B4DD7"/>
    <w:multiLevelType w:val="hybridMultilevel"/>
    <w:tmpl w:val="416663B4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37B2"/>
    <w:rsid w:val="00221AE6"/>
    <w:rsid w:val="00286A6D"/>
    <w:rsid w:val="00555296"/>
    <w:rsid w:val="00B6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1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221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7B2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7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63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37B2"/>
  </w:style>
  <w:style w:type="paragraph" w:styleId="Piedepgina">
    <w:name w:val="footer"/>
    <w:basedOn w:val="Normal"/>
    <w:link w:val="PiedepginaCar"/>
    <w:uiPriority w:val="99"/>
    <w:semiHidden/>
    <w:unhideWhenUsed/>
    <w:rsid w:val="00B63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37B2"/>
  </w:style>
  <w:style w:type="table" w:styleId="Tablaconcuadrcula">
    <w:name w:val="Table Grid"/>
    <w:basedOn w:val="Tablanormal"/>
    <w:uiPriority w:val="59"/>
    <w:rsid w:val="00B637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21A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21AE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221AE6"/>
    <w:rPr>
      <w:color w:val="0000FF"/>
      <w:u w:val="single"/>
    </w:rPr>
  </w:style>
  <w:style w:type="character" w:customStyle="1" w:styleId="metapor">
    <w:name w:val="meta__por"/>
    <w:basedOn w:val="Fuentedeprrafopredeter"/>
    <w:rsid w:val="00221AE6"/>
  </w:style>
  <w:style w:type="paragraph" w:styleId="NormalWeb">
    <w:name w:val="Normal (Web)"/>
    <w:basedOn w:val="Normal"/>
    <w:uiPriority w:val="99"/>
    <w:semiHidden/>
    <w:unhideWhenUsed/>
    <w:rsid w:val="002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21A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38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2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hernan gonzalez</cp:lastModifiedBy>
  <cp:revision>3</cp:revision>
  <dcterms:created xsi:type="dcterms:W3CDTF">2024-04-29T18:07:00Z</dcterms:created>
  <dcterms:modified xsi:type="dcterms:W3CDTF">2024-04-29T19:02:00Z</dcterms:modified>
</cp:coreProperties>
</file>