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D046" w14:textId="49305733" w:rsidR="00E46AAE" w:rsidRPr="00E46AAE" w:rsidRDefault="00E46AAE" w:rsidP="00E46AAE">
      <w:pPr>
        <w:spacing w:after="0" w:line="360" w:lineRule="auto"/>
        <w:jc w:val="both"/>
        <w:textAlignment w:val="baseline"/>
        <w:rPr>
          <w:rFonts w:ascii="Titillium Web" w:eastAsia="Times New Roman" w:hAnsi="Titillium Web" w:cs="Times New Roman"/>
          <w:sz w:val="21"/>
          <w:szCs w:val="21"/>
          <w:lang w:eastAsia="es-AR"/>
        </w:rPr>
      </w:pPr>
      <w:r w:rsidRPr="00E46AAE">
        <w:rPr>
          <w:rFonts w:ascii="Titillium Web" w:eastAsia="Times New Roman" w:hAnsi="Titillium Web" w:cs="Times New Roman"/>
          <w:noProof/>
          <w:sz w:val="21"/>
          <w:szCs w:val="21"/>
          <w:lang w:eastAsia="es-AR"/>
        </w:rPr>
        <w:drawing>
          <wp:inline distT="0" distB="0" distL="0" distR="0" wp14:anchorId="713F5F51" wp14:editId="0EF0DBE3">
            <wp:extent cx="2247900" cy="533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AD3B7" w14:textId="77777777" w:rsidR="00E46AAE" w:rsidRPr="00E46AAE" w:rsidRDefault="00E46AAE" w:rsidP="00E46AAE">
      <w:pPr>
        <w:spacing w:after="0" w:line="360" w:lineRule="auto"/>
        <w:jc w:val="both"/>
        <w:textAlignment w:val="baseline"/>
        <w:outlineLvl w:val="0"/>
        <w:rPr>
          <w:rFonts w:ascii="Titillium Web" w:eastAsia="Times New Roman" w:hAnsi="Titillium Web" w:cs="Times New Roman"/>
          <w:b/>
          <w:bCs/>
          <w:caps/>
          <w:spacing w:val="8"/>
          <w:kern w:val="36"/>
          <w:sz w:val="53"/>
          <w:szCs w:val="53"/>
          <w:lang w:eastAsia="es-AR"/>
        </w:rPr>
      </w:pPr>
      <w:r w:rsidRPr="00E46AAE">
        <w:rPr>
          <w:rFonts w:ascii="Titillium Web" w:eastAsia="Times New Roman" w:hAnsi="Titillium Web" w:cs="Times New Roman"/>
          <w:b/>
          <w:bCs/>
          <w:caps/>
          <w:spacing w:val="8"/>
          <w:kern w:val="36"/>
          <w:sz w:val="53"/>
          <w:szCs w:val="53"/>
          <w:lang w:eastAsia="es-AR"/>
        </w:rPr>
        <w:t>REGISTRO PÚBLICO DE COMERCIO</w:t>
      </w:r>
    </w:p>
    <w:p w14:paraId="653B5353" w14:textId="7F1B61D3" w:rsidR="00E46AAE" w:rsidRPr="00E46AAE" w:rsidRDefault="00E46AAE" w:rsidP="00E46AAE">
      <w:pPr>
        <w:spacing w:after="0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</w:p>
    <w:p w14:paraId="6AABBF94" w14:textId="77777777" w:rsidR="00E46AAE" w:rsidRPr="00E46AAE" w:rsidRDefault="00E46AAE" w:rsidP="00E46AAE">
      <w:pPr>
        <w:spacing w:after="0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Que se encuentra vigente el uso </w:t>
      </w: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EXCLUSIVO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 del sistema de presentaciones MEV, por lo que para trámites de inscripción solamente se recibirán presentaciones a través de la mencionada plataforma, conforme guía de trámites publicada en el sitio web oficial. Toda la documentación correspondiente deberá adjuntarse en </w:t>
      </w: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formato PDF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.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Asimismo, que conforme Acuerdo General n°109/22, se entregarán constancias en formato PDF con firma digital.</w:t>
      </w:r>
    </w:p>
    <w:p w14:paraId="59E186C7" w14:textId="77777777" w:rsidR="00E46AAE" w:rsidRPr="00E46AAE" w:rsidRDefault="00E46AAE" w:rsidP="00E46AAE">
      <w:pPr>
        <w:spacing w:after="0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Respecto de oficios, informes, certificados y solicitudes de copias que se presenten SIN profesional matriculado (sin acceso a plataforma MEV), se recibirán a la casilla de correo </w:t>
      </w: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oficioregpubcom@jussanjuan.gov.ar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, y se emitirán los documentos correspondientes en formato digital.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Consultas de homonimia, dirigirlas a la casilla de correo </w:t>
      </w: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regpubcomsj@jussanjuan.gov.ar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.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Por otras consultas comunicarse telefónicamente al número 4277645 en horario de 7:30 a 13hs.</w:t>
      </w:r>
    </w:p>
    <w:p w14:paraId="43E1BF53" w14:textId="77777777" w:rsidR="00E46AAE" w:rsidRPr="00E46AAE" w:rsidRDefault="00E46AAE" w:rsidP="00E46AAE">
      <w:pPr>
        <w:shd w:val="clear" w:color="auto" w:fill="FFFFFF"/>
        <w:spacing w:after="384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 xml:space="preserve">El Registro Público de Comercio, Secretaría del Juzgado Comercial Especial de la Provincia de San Juan, funciona dentro del marco de la Ley Orgánica del Poder Judicial y en él se tomará razón de todos los documentos y resoluciones judiciales </w:t>
      </w:r>
      <w:proofErr w:type="gramStart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que</w:t>
      </w:r>
      <w:proofErr w:type="gramEnd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 xml:space="preserve"> por el Código Civil y Comercial de la Nación, la Ley General de Sociedades </w:t>
      </w:r>
      <w:proofErr w:type="spellStart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N°</w:t>
      </w:r>
      <w:proofErr w:type="spellEnd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 xml:space="preserve"> 19.550 y otras disposiciones vigentes, se imponga ese requisito.</w:t>
      </w:r>
    </w:p>
    <w:p w14:paraId="46759B75" w14:textId="77777777" w:rsidR="00E46AAE" w:rsidRPr="00E46AAE" w:rsidRDefault="00E46AAE" w:rsidP="00E46AAE">
      <w:pPr>
        <w:shd w:val="clear" w:color="auto" w:fill="FFFFFF"/>
        <w:spacing w:after="384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La documentación en la que por ley se establezca su necesidad de inscripción en el Registro Público de Comercio, que por resolución del Juez a cargo se aprueben, se archivará en los legajos correspondientes y su publicidad será de libre acceso.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Su principal función es el control de legalidad, pudiendo el mismo formular observaciones respecto de defectos subsanables que surgen de forma manifiesta del documento sujeto a inscripción o de su confrontación con los asientos registrales y que no ocasionan una nulidad absoluta, tales como:</w:t>
      </w:r>
    </w:p>
    <w:p w14:paraId="28D9BC36" w14:textId="77777777" w:rsidR="00E46AAE" w:rsidRPr="00E46AAE" w:rsidRDefault="00E46AAE" w:rsidP="00E46AAE">
      <w:pPr>
        <w:numPr>
          <w:ilvl w:val="0"/>
          <w:numId w:val="2"/>
        </w:numPr>
        <w:shd w:val="clear" w:color="auto" w:fill="FFFFFF"/>
        <w:spacing w:before="240" w:after="168" w:line="36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Los que afectan a la validez formal del instrumento (vicios de forma o falta de competencia).</w:t>
      </w:r>
    </w:p>
    <w:p w14:paraId="44161BE3" w14:textId="77777777" w:rsidR="00E46AAE" w:rsidRPr="00E46AAE" w:rsidRDefault="00E46AAE" w:rsidP="00E46AAE">
      <w:pPr>
        <w:numPr>
          <w:ilvl w:val="0"/>
          <w:numId w:val="2"/>
        </w:numPr>
        <w:shd w:val="clear" w:color="auto" w:fill="FFFFFF"/>
        <w:spacing w:before="240" w:after="168" w:line="36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lastRenderedPageBreak/>
        <w:t>La falta de requisitos esenciales o su formulación sin claridad suficiente, de cualquiera de las circunstancias que según la ley y disposiciones vigentes debe contener la inscripción.</w:t>
      </w:r>
    </w:p>
    <w:p w14:paraId="1F38BD1E" w14:textId="77777777" w:rsidR="00E46AAE" w:rsidRPr="00E46AAE" w:rsidRDefault="00E46AAE" w:rsidP="00E46AAE">
      <w:pPr>
        <w:numPr>
          <w:ilvl w:val="0"/>
          <w:numId w:val="2"/>
        </w:numPr>
        <w:shd w:val="clear" w:color="auto" w:fill="FFFFFF"/>
        <w:spacing w:before="240" w:after="168" w:line="36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No podrá registrarse otro instrumento de igual o anterior fecha que se le oponga o sea incompatible.</w:t>
      </w:r>
    </w:p>
    <w:p w14:paraId="5EBBDFB8" w14:textId="77777777" w:rsidR="00E46AAE" w:rsidRPr="00E46AAE" w:rsidRDefault="00E46AAE" w:rsidP="00E46AAE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 xml:space="preserve">Efecto de las inscripciones en el Registro </w:t>
      </w:r>
      <w:proofErr w:type="spellStart"/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Publico</w:t>
      </w:r>
      <w:proofErr w:type="spellEnd"/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: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 La inscripción en el Registro Público no convalida ni sanea los actos o contratos que sean total o parcialmente nulos o anulables según el derecho de fondo. Sin perjuicio de ello, el contenido del documento y la inscripción de los actos contenidos en el mismo se presumen exactos y válidos. La inscripción produce respecto del propio acto inscripto efectos internos declarativos o constitutivos según las normas sustantivas aplicables al mismo y efectos externos de oponibilidad a terceros.</w:t>
      </w:r>
    </w:p>
    <w:p w14:paraId="68827C0B" w14:textId="77777777" w:rsidR="00E46AAE" w:rsidRPr="00E46AAE" w:rsidRDefault="00E46AAE" w:rsidP="00E46AAE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I) </w:t>
      </w: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FUNCIONES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Inscripción de Contratos constitutivos de las sociedades comerciales y sus eventuales modificaciones, Actas, Mandatos, etc. Inscribe la transferencia de fondos de comercio y los contratos asociativos, Uniones Transitorias, Agrupaciones de Colaboración y Consorcios de cooperación y toma razón de los actos y documentos que correspondieren según la legislación.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2) Controlar las variaciones o aumentos de capital, la disolución, fusión, subsanación y/o liquidación de las sociedades dentro de las facultades que le atribuyen las disposiciones legales vigentes.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3)Publicidad registral: De todos los actos, contratos y resoluciones judiciales inscriptos en sus Protocolos y en el Registro de Libros Sociales y de Comercio.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 xml:space="preserve">4) Registro provincial de libros sociales: Se toma razón de la resolución judicial que ordena la </w:t>
      </w:r>
      <w:proofErr w:type="spellStart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rubrica</w:t>
      </w:r>
      <w:proofErr w:type="spellEnd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 xml:space="preserve"> de libros sociales y de comercio como así también la autorización para reemplazar el Libro Diario y </w:t>
      </w:r>
      <w:proofErr w:type="spellStart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Subdiarios</w:t>
      </w:r>
      <w:proofErr w:type="spellEnd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 xml:space="preserve"> por medios mecanizados.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5) Expide informes y oficios requeridos por organismos administrativos, judiciales, y de peticiones de particulares. Realiza estudios e investigaciones de orden jurídico y contable sobre las materias propias de su competencia, organiza cursos y conferencias y promueve o efectúa publicaciones, a cuyos fines podrá colaborar con otros organismos gubernamentales o no gubernamentales especializados.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6) Dicta los reglamentos que estime adecuados para su mejor funcionamiento. Organiza procedimientos técnicos adecuados para procesar la documentación que ingresa y emana del ejercicio de sus funciones, así como la de toda constancia que obre en sus registros.</w:t>
      </w:r>
    </w:p>
    <w:p w14:paraId="70DDA8E8" w14:textId="77777777" w:rsidR="00E46AAE" w:rsidRPr="00E46AAE" w:rsidRDefault="00E46AAE" w:rsidP="00E46AAE">
      <w:pPr>
        <w:shd w:val="clear" w:color="auto" w:fill="FFFFFF"/>
        <w:spacing w:line="36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DOMICILIO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: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B. Mitre 682 (Este), Capital, San Juan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</w: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TELÉFONOS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: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(0264) – 4277645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</w: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lastRenderedPageBreak/>
        <w:t>HORARIO DE ATENCIÓN MESA DE ENTRADAS: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</w:r>
      <w:proofErr w:type="gramStart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Lunes</w:t>
      </w:r>
      <w:proofErr w:type="gramEnd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 xml:space="preserve"> a viernes de 7:00 a 13:00 </w:t>
      </w:r>
      <w:proofErr w:type="spellStart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hs</w:t>
      </w:r>
      <w:proofErr w:type="spellEnd"/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.</w:t>
      </w:r>
    </w:p>
    <w:p w14:paraId="02A5B03D" w14:textId="77777777" w:rsidR="00E46AAE" w:rsidRPr="00E46AAE" w:rsidRDefault="00E46AAE" w:rsidP="00E46AAE">
      <w:pPr>
        <w:shd w:val="clear" w:color="auto" w:fill="FFFFFF"/>
        <w:spacing w:line="360" w:lineRule="auto"/>
        <w:jc w:val="both"/>
        <w:textAlignment w:val="baseline"/>
        <w:outlineLvl w:val="2"/>
        <w:rPr>
          <w:rFonts w:ascii="Titillium Web" w:eastAsia="Times New Roman" w:hAnsi="Titillium Web" w:cs="Times New Roman"/>
          <w:b/>
          <w:bCs/>
          <w:caps/>
          <w:spacing w:val="8"/>
          <w:sz w:val="30"/>
          <w:szCs w:val="30"/>
          <w:lang w:eastAsia="es-AR"/>
        </w:rPr>
      </w:pPr>
      <w:r w:rsidRPr="00E46AAE">
        <w:rPr>
          <w:rFonts w:ascii="Titillium Web" w:eastAsia="Times New Roman" w:hAnsi="Titillium Web" w:cs="Times New Roman"/>
          <w:b/>
          <w:bCs/>
          <w:caps/>
          <w:spacing w:val="8"/>
          <w:sz w:val="30"/>
          <w:szCs w:val="30"/>
          <w:lang w:eastAsia="es-AR"/>
        </w:rPr>
        <w:t>MISIÓN DEL REGISTRO PÚBLICO DE COMERCIO</w:t>
      </w:r>
    </w:p>
    <w:p w14:paraId="2966D3A0" w14:textId="77777777" w:rsidR="00E46AAE" w:rsidRPr="00E46AAE" w:rsidRDefault="00E46AAE" w:rsidP="00E46AAE">
      <w:pPr>
        <w:shd w:val="clear" w:color="auto" w:fill="FFFFFF"/>
        <w:spacing w:after="384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Tiene como misión principal el control de la legalidad, registración y fiscalización de la vida institucional de entidades comerciales, promoviendo así el fortalecimiento del principio de seguridad jurídica y resguardando el interés público.</w:t>
      </w:r>
    </w:p>
    <w:p w14:paraId="68D17532" w14:textId="77777777" w:rsidR="00E46AAE" w:rsidRPr="00E46AAE" w:rsidRDefault="00E46AAE" w:rsidP="00E46AAE">
      <w:pPr>
        <w:shd w:val="clear" w:color="auto" w:fill="FFFFFF"/>
        <w:spacing w:after="384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Como visión, la institución tiende a desarrollar una organización ágil, flexible y austera, brindando un servicio orientado al usuario, con eficiencia y transparencia.</w:t>
      </w:r>
    </w:p>
    <w:p w14:paraId="4689E85D" w14:textId="77777777" w:rsidR="00E46AAE" w:rsidRPr="00E46AAE" w:rsidRDefault="00E46AAE" w:rsidP="00E46AAE">
      <w:pPr>
        <w:shd w:val="clear" w:color="auto" w:fill="FFFFFF"/>
        <w:spacing w:after="384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Sus principales propósitos son:</w:t>
      </w:r>
    </w:p>
    <w:p w14:paraId="33A41286" w14:textId="77777777" w:rsidR="00E46AAE" w:rsidRPr="00E46AAE" w:rsidRDefault="00E46AAE" w:rsidP="00E46AAE">
      <w:pPr>
        <w:numPr>
          <w:ilvl w:val="0"/>
          <w:numId w:val="3"/>
        </w:numPr>
        <w:shd w:val="clear" w:color="auto" w:fill="FFFFFF"/>
        <w:spacing w:before="240" w:after="168" w:line="36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Hacer más eficiente la prestación de los servicios que brinda.</w:t>
      </w:r>
    </w:p>
    <w:p w14:paraId="3867773F" w14:textId="77777777" w:rsidR="00E46AAE" w:rsidRPr="00E46AAE" w:rsidRDefault="00E46AAE" w:rsidP="00E46AAE">
      <w:pPr>
        <w:numPr>
          <w:ilvl w:val="0"/>
          <w:numId w:val="3"/>
        </w:numPr>
        <w:shd w:val="clear" w:color="auto" w:fill="FFFFFF"/>
        <w:spacing w:before="240" w:after="168" w:line="36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Mejorar la calidad de atención y asesoramiento a los usuarios.</w:t>
      </w:r>
    </w:p>
    <w:p w14:paraId="74567A2F" w14:textId="77777777" w:rsidR="00E46AAE" w:rsidRPr="00E46AAE" w:rsidRDefault="00E46AAE" w:rsidP="00E46AAE">
      <w:pPr>
        <w:numPr>
          <w:ilvl w:val="0"/>
          <w:numId w:val="3"/>
        </w:numPr>
        <w:shd w:val="clear" w:color="auto" w:fill="FFFFFF"/>
        <w:spacing w:before="240" w:after="168" w:line="36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Reducir el plazo de tramitación de los expedientes.</w:t>
      </w:r>
    </w:p>
    <w:p w14:paraId="349A5629" w14:textId="77777777" w:rsidR="00E46AAE" w:rsidRPr="00E46AAE" w:rsidRDefault="00E46AAE" w:rsidP="00E46AAE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DESTINATARIOS DEL REGISTRO PUBLICO</w:t>
      </w: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br/>
        <w:t>Los destinatarios de los servicios que ofrece son:</w:t>
      </w:r>
    </w:p>
    <w:p w14:paraId="1FE82AC1" w14:textId="77777777" w:rsidR="00E46AAE" w:rsidRPr="00E46AAE" w:rsidRDefault="00E46AAE" w:rsidP="00E46AAE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USUARIOS / CIUDADANOS</w:t>
      </w:r>
    </w:p>
    <w:p w14:paraId="28BCE902" w14:textId="77777777" w:rsidR="00E46AAE" w:rsidRPr="00E46AAE" w:rsidRDefault="00E46AAE" w:rsidP="00E46AAE">
      <w:pPr>
        <w:numPr>
          <w:ilvl w:val="0"/>
          <w:numId w:val="4"/>
        </w:numPr>
        <w:shd w:val="clear" w:color="auto" w:fill="FFFFFF"/>
        <w:spacing w:before="240" w:after="168" w:line="36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Socios, accionistas, administradores, síndicos, fiscalizadores y revisores de cuenta de sociedades comerciales nacionales, extranjeras y entidades binacionales.</w:t>
      </w:r>
    </w:p>
    <w:p w14:paraId="7243C2B9" w14:textId="77777777" w:rsidR="00E46AAE" w:rsidRPr="00E46AAE" w:rsidRDefault="00E46AAE" w:rsidP="00E46AAE">
      <w:pPr>
        <w:numPr>
          <w:ilvl w:val="0"/>
          <w:numId w:val="4"/>
        </w:numPr>
        <w:shd w:val="clear" w:color="auto" w:fill="FFFFFF"/>
        <w:spacing w:before="240" w:after="168" w:line="36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Profesionales de la abogacía y notariado, y público en general que consulta datos de los registros y archivos (requiere de acreditación de interés legítimo).</w:t>
      </w:r>
    </w:p>
    <w:p w14:paraId="2C921A9C" w14:textId="77777777" w:rsidR="00E46AAE" w:rsidRPr="00E46AAE" w:rsidRDefault="00E46AAE" w:rsidP="00E46AAE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  <w:lang w:eastAsia="es-AR"/>
        </w:rPr>
        <w:t>ENTIDADES</w:t>
      </w:r>
    </w:p>
    <w:p w14:paraId="7C139F9F" w14:textId="77777777" w:rsidR="00E46AAE" w:rsidRPr="00E46AAE" w:rsidRDefault="00E46AAE" w:rsidP="00E46AAE">
      <w:pPr>
        <w:numPr>
          <w:ilvl w:val="0"/>
          <w:numId w:val="5"/>
        </w:numPr>
        <w:shd w:val="clear" w:color="auto" w:fill="FFFFFF"/>
        <w:spacing w:before="240" w:after="168" w:line="24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Sociedades comerciales nacionales y extranjeras, cámaras, federaciones y confederaciones.</w:t>
      </w:r>
    </w:p>
    <w:p w14:paraId="17DF8582" w14:textId="77777777" w:rsidR="00E46AAE" w:rsidRPr="00E46AAE" w:rsidRDefault="00E46AAE" w:rsidP="00E46AAE">
      <w:pPr>
        <w:numPr>
          <w:ilvl w:val="0"/>
          <w:numId w:val="5"/>
        </w:numPr>
        <w:shd w:val="clear" w:color="auto" w:fill="FFFFFF"/>
        <w:spacing w:before="240" w:after="168" w:line="24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Organismos de los poderes ejecutivo, legislativo y judicial, tanto nacionales, como provinciales, organismos descentralizados y otros.</w:t>
      </w:r>
    </w:p>
    <w:p w14:paraId="751191AF" w14:textId="77777777" w:rsidR="00E46AAE" w:rsidRPr="00E46AAE" w:rsidRDefault="00E46AAE" w:rsidP="00E46AAE">
      <w:pPr>
        <w:numPr>
          <w:ilvl w:val="0"/>
          <w:numId w:val="5"/>
        </w:numPr>
        <w:shd w:val="clear" w:color="auto" w:fill="FFFFFF"/>
        <w:spacing w:before="240" w:after="168" w:line="24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Organismos Municipales.</w:t>
      </w:r>
    </w:p>
    <w:p w14:paraId="3E0ECF06" w14:textId="77777777" w:rsidR="00E46AAE" w:rsidRPr="00E46AAE" w:rsidRDefault="00E46AAE" w:rsidP="00640A6D">
      <w:pPr>
        <w:numPr>
          <w:ilvl w:val="0"/>
          <w:numId w:val="5"/>
        </w:numPr>
        <w:shd w:val="clear" w:color="auto" w:fill="FFFFFF"/>
        <w:spacing w:before="240" w:after="168" w:line="360" w:lineRule="auto"/>
        <w:ind w:left="1170" w:right="450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es-AR"/>
        </w:rPr>
      </w:pPr>
      <w:r w:rsidRPr="00E46AAE">
        <w:rPr>
          <w:rFonts w:ascii="inherit" w:eastAsia="Times New Roman" w:hAnsi="inherit" w:cs="Times New Roman"/>
          <w:sz w:val="21"/>
          <w:szCs w:val="21"/>
          <w:lang w:eastAsia="es-AR"/>
        </w:rPr>
        <w:t>Colegios de profesionales: Foro de Abogados y Colegio de Escribanos</w:t>
      </w:r>
    </w:p>
    <w:sectPr w:rsidR="00E46AAE" w:rsidRPr="00E46AAE" w:rsidSect="00E46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726B"/>
    <w:multiLevelType w:val="multilevel"/>
    <w:tmpl w:val="95A0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B1355"/>
    <w:multiLevelType w:val="multilevel"/>
    <w:tmpl w:val="B4D4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A214D3"/>
    <w:multiLevelType w:val="multilevel"/>
    <w:tmpl w:val="457C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C27441"/>
    <w:multiLevelType w:val="multilevel"/>
    <w:tmpl w:val="4104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CA6987"/>
    <w:multiLevelType w:val="multilevel"/>
    <w:tmpl w:val="695E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AE"/>
    <w:rsid w:val="00A134AF"/>
    <w:rsid w:val="00E4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394E"/>
  <w15:chartTrackingRefBased/>
  <w15:docId w15:val="{58F895ED-F06B-471F-9BB7-95883025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46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3">
    <w:name w:val="heading 3"/>
    <w:basedOn w:val="Normal"/>
    <w:link w:val="Ttulo3Car"/>
    <w:uiPriority w:val="9"/>
    <w:qFormat/>
    <w:rsid w:val="00E46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AAE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46AA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E4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46AAE"/>
    <w:rPr>
      <w:b/>
      <w:bCs/>
    </w:rPr>
  </w:style>
  <w:style w:type="paragraph" w:customStyle="1" w:styleId="etpbmenupageid-212323">
    <w:name w:val="et_pb_menu_page_id-212323"/>
    <w:basedOn w:val="Normal"/>
    <w:rsid w:val="00E4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E46AAE"/>
    <w:rPr>
      <w:color w:val="0000FF"/>
      <w:u w:val="single"/>
    </w:rPr>
  </w:style>
  <w:style w:type="paragraph" w:customStyle="1" w:styleId="etpbmenupageid-212065">
    <w:name w:val="et_pb_menu_page_id-212065"/>
    <w:basedOn w:val="Normal"/>
    <w:rsid w:val="00E4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etpbmenupageid-216233">
    <w:name w:val="et_pb_menu_page_id-216233"/>
    <w:basedOn w:val="Normal"/>
    <w:rsid w:val="00E4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etpbmenupageid-216270">
    <w:name w:val="et_pb_menu_page_id-216270"/>
    <w:basedOn w:val="Normal"/>
    <w:rsid w:val="00E4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8389">
                      <w:marLeft w:val="0"/>
                      <w:marRight w:val="4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1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7257">
                      <w:marLeft w:val="146"/>
                      <w:marRight w:val="14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1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3142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1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65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86319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764068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1863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060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4488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6287">
                  <w:marLeft w:val="0"/>
                  <w:marRight w:val="8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2024-05-22T13:01:00Z</dcterms:created>
  <dcterms:modified xsi:type="dcterms:W3CDTF">2024-05-22T13:05:00Z</dcterms:modified>
</cp:coreProperties>
</file>