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Práctico de economía social.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 mano invisible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Juan Ignacio Pinos y Abril Entz.     6to "A"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Quienes serán sujetos a estas políticas, posiblemente los ciudadanos en general.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**Relación con el liberalismo:** El cómic critica la forma en que los gobiernos pueden manipular los principios liberales, otorgando libertades y derechos de manera limitada y controlada, lo que va en contra del ideal liberal de máxima libertad individual y mínima intervención estatal. Esto subraya la tensión entre la teoría liberal y la práctica política, especialmente en tiempos de crisis.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-Resumen y Conclusión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**Rol del Estado según el liberalismo:** Debe ser limitado, enfocado en la protección de derechos y la justicia, sin intervenir en la economía más allá de lo necesario.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**Mano invisible según Alfredo de Hoces:** Critica su ineficacia en la crisis española, destacando el cinismo del libre mercado que falla en cumplir sus promesas de prosperidad.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 **Frase sobre sofá y televisor de plasma:** Denuncia la complacencia y pérdida de habilidades críticas en la población debido al consumismo y la comodidad.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 **Titular del Diario El Mundo:** Refleja la crisis del pensamiento liberal en tiempos de crisis económica, cuestionando su fortaleza y relevancia actual.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5. **Cómic:** Satiriza la manipulación de libertades y derechos por parte del gobierno, mostrando la contradicción entre los ideales liberales y la realidad política.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Este análisis conecta las críticas contemporáneas al liberalismo con los desafíos prácticos que enfrenta en el contexto de la crisis económica, mostrando las discrepancias entre teoría y práctica.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s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