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D050" w14:textId="77777777" w:rsidR="005900EC" w:rsidRDefault="00550FE3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5D656C" wp14:editId="3708C071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72793466" w14:textId="77777777" w:rsidR="005900EC" w:rsidRDefault="00550FE3">
      <w:pPr>
        <w:spacing w:after="0"/>
      </w:pPr>
      <w:r>
        <w:t xml:space="preserve"> </w:t>
      </w:r>
    </w:p>
    <w:p w14:paraId="2EDC14C2" w14:textId="77777777" w:rsidR="005900EC" w:rsidRDefault="00FD3814">
      <w:pPr>
        <w:spacing w:after="103"/>
      </w:pPr>
      <w:r w:rsidRPr="00E977BE">
        <w:rPr>
          <w:b/>
          <w:bCs/>
          <w:sz w:val="28"/>
          <w:szCs w:val="28"/>
          <w:u w:val="single"/>
        </w:rPr>
        <w:t>Alumnos</w:t>
      </w:r>
      <w:r>
        <w:t>:</w:t>
      </w:r>
      <w:r w:rsidR="00550FE3">
        <w:t xml:space="preserve"> </w:t>
      </w:r>
      <w:r>
        <w:t>Josefina Villafañe y Matías Mercado</w:t>
      </w:r>
    </w:p>
    <w:p w14:paraId="4C1518F0" w14:textId="77777777" w:rsidR="005900EC" w:rsidRDefault="00550FE3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606A8D72" w14:textId="77777777" w:rsidR="005900EC" w:rsidRDefault="00550FE3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72C13B95" w14:textId="77777777" w:rsidR="005900EC" w:rsidRDefault="00550FE3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14:paraId="7A17B5EA" w14:textId="77777777" w:rsidR="005900EC" w:rsidRDefault="00550FE3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7AAADCB2" w14:textId="77777777" w:rsidR="005900EC" w:rsidRDefault="00550FE3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7E1A143" w14:textId="77777777" w:rsidR="005900EC" w:rsidRDefault="00550FE3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14:paraId="75F43FE8" w14:textId="77777777" w:rsidR="005900EC" w:rsidRDefault="00550FE3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644ACCE" w14:textId="77777777" w:rsidR="005900EC" w:rsidRDefault="00550FE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3A6288A" w14:textId="77777777" w:rsidR="005900EC" w:rsidRDefault="00550FE3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14:paraId="186DF779" w14:textId="77777777" w:rsidR="005900EC" w:rsidRDefault="00550FE3">
      <w:pPr>
        <w:spacing w:after="43"/>
      </w:pPr>
      <w:r>
        <w:rPr>
          <w:rFonts w:ascii="Arial" w:eastAsia="Arial" w:hAnsi="Arial" w:cs="Arial"/>
          <w:b/>
          <w:color w:val="C00000"/>
          <w:sz w:val="28"/>
        </w:rPr>
        <w:t xml:space="preserve"> </w:t>
      </w:r>
    </w:p>
    <w:p w14:paraId="4DBB9F6B" w14:textId="77777777" w:rsidR="005900EC" w:rsidRDefault="00550FE3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W w:w="10383" w:type="dxa"/>
        <w:tblInd w:w="15" w:type="dxa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1093"/>
        <w:gridCol w:w="2185"/>
        <w:gridCol w:w="1404"/>
        <w:gridCol w:w="1222"/>
        <w:gridCol w:w="1129"/>
        <w:gridCol w:w="1357"/>
        <w:gridCol w:w="1134"/>
      </w:tblGrid>
      <w:tr w:rsidR="006A04B8" w14:paraId="4544A490" w14:textId="77777777" w:rsidTr="005B4619">
        <w:trPr>
          <w:trHeight w:val="888"/>
        </w:trPr>
        <w:tc>
          <w:tcPr>
            <w:tcW w:w="1373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14:paraId="31DFAA22" w14:textId="77777777" w:rsidR="00D61127" w:rsidRDefault="00D61127">
            <w:r>
              <w:rPr>
                <w:sz w:val="20"/>
              </w:rPr>
              <w:t>Concepto</w:t>
            </w:r>
          </w:p>
        </w:tc>
        <w:tc>
          <w:tcPr>
            <w:tcW w:w="1189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6C8EA128" w14:textId="77777777" w:rsidR="00D61127" w:rsidRDefault="00D61127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36C96E53" w14:textId="77777777" w:rsidR="00D61127" w:rsidRDefault="00D61127">
            <w:pPr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689A241E" w14:textId="77777777" w:rsidR="00D61127" w:rsidRDefault="00D61127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7C68750D" w14:textId="77777777" w:rsidR="00D61127" w:rsidRDefault="00D61127">
            <w:pPr>
              <w:ind w:left="5"/>
            </w:pPr>
            <w:proofErr w:type="spellStart"/>
            <w:r>
              <w:rPr>
                <w:sz w:val="20"/>
              </w:rPr>
              <w:t>Clasica</w:t>
            </w:r>
            <w:proofErr w:type="spellEnd"/>
          </w:p>
        </w:tc>
        <w:tc>
          <w:tcPr>
            <w:tcW w:w="125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4E5F71FA" w14:textId="77777777" w:rsidR="00D61127" w:rsidRDefault="00D61127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14:paraId="3EA46035" w14:textId="77777777" w:rsidR="00D61127" w:rsidRDefault="00D61127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14:paraId="430BA9AB" w14:textId="77777777" w:rsidR="00D61127" w:rsidRDefault="00D61127">
            <w:pPr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28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3178EBD9" w14:textId="77777777" w:rsidR="00D61127" w:rsidRDefault="00D61127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14:paraId="06FCBECC" w14:textId="77777777" w:rsidR="00D61127" w:rsidRDefault="00D61127">
            <w:pPr>
              <w:spacing w:after="39"/>
              <w:ind w:left="5"/>
            </w:pPr>
            <w:proofErr w:type="spellStart"/>
            <w:r>
              <w:rPr>
                <w:sz w:val="20"/>
              </w:rPr>
              <w:t>Neohumana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9305F38" w14:textId="77777777" w:rsidR="00D61127" w:rsidRDefault="00D61127">
            <w:pPr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53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3FC1A948" w14:textId="77777777" w:rsidR="00D61127" w:rsidRDefault="00D61127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03880301" w14:textId="77777777" w:rsidR="00D61127" w:rsidRDefault="00D61127">
            <w:pPr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13E7FAA8" w14:textId="77777777" w:rsidR="00D61127" w:rsidRDefault="00D61127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4587C8D6" w14:textId="77777777" w:rsidR="00D61127" w:rsidRDefault="00D61127">
            <w:pPr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247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14:paraId="0530905D" w14:textId="77777777" w:rsidR="00D61127" w:rsidRDefault="00D61127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331EF25D" w14:textId="77777777" w:rsidR="00D61127" w:rsidRDefault="00D61127">
            <w:pPr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6A04B8" w14:paraId="1615426E" w14:textId="77777777" w:rsidTr="005B4619">
        <w:trPr>
          <w:trHeight w:val="270"/>
        </w:trPr>
        <w:tc>
          <w:tcPr>
            <w:tcW w:w="1373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756A0CCA" w14:textId="77777777" w:rsidR="00D61127" w:rsidRDefault="00D61127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14:paraId="0079917B" w14:textId="77777777" w:rsidR="00D61127" w:rsidRDefault="00D61127">
            <w:pPr>
              <w:ind w:left="142"/>
            </w:pPr>
            <w:r>
              <w:rPr>
                <w:sz w:val="20"/>
              </w:rPr>
              <w:t>exponentes</w:t>
            </w:r>
          </w:p>
        </w:tc>
        <w:tc>
          <w:tcPr>
            <w:tcW w:w="1189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2CEC4F8" w14:textId="77777777" w:rsidR="00D61127" w:rsidRDefault="00D61127">
            <w:proofErr w:type="spellStart"/>
            <w:r>
              <w:t>Frederic</w:t>
            </w:r>
            <w:proofErr w:type="spellEnd"/>
            <w:r>
              <w:t xml:space="preserve"> </w:t>
            </w:r>
            <w:proofErr w:type="spellStart"/>
            <w:r>
              <w:t>Tylor</w:t>
            </w:r>
            <w:proofErr w:type="spellEnd"/>
            <w:r>
              <w:t xml:space="preserve"> 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73B27" w14:textId="77777777" w:rsidR="00D61127" w:rsidRDefault="00D61127">
            <w:r>
              <w:t>Henry Fayol</w:t>
            </w:r>
          </w:p>
          <w:p w14:paraId="50554366" w14:textId="77777777" w:rsidR="00D61127" w:rsidRDefault="00D61127">
            <w:proofErr w:type="spellStart"/>
            <w:r>
              <w:t>Frederic</w:t>
            </w:r>
            <w:proofErr w:type="spellEnd"/>
            <w:r>
              <w:t xml:space="preserve"> </w:t>
            </w:r>
            <w:proofErr w:type="spellStart"/>
            <w:r>
              <w:t>Tylor</w:t>
            </w:r>
            <w:proofErr w:type="spellEnd"/>
          </w:p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78009" w14:textId="77777777" w:rsidR="00D61127" w:rsidRDefault="00D61127">
            <w:r>
              <w:tab/>
              <w:t>Elton Mayo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4C7CD43" w14:textId="77777777" w:rsidR="00D61127" w:rsidRDefault="00D61127"/>
          <w:p w14:paraId="201A3DB6" w14:textId="77777777" w:rsidR="00D61127" w:rsidRDefault="00D61127"/>
        </w:tc>
        <w:tc>
          <w:tcPr>
            <w:tcW w:w="128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E35B4" w14:textId="77777777" w:rsidR="00D61127" w:rsidRDefault="00D61127">
            <w:proofErr w:type="spellStart"/>
            <w:r>
              <w:t>Maslow</w:t>
            </w:r>
            <w:proofErr w:type="spellEnd"/>
          </w:p>
          <w:p w14:paraId="011EF1EB" w14:textId="77777777" w:rsidR="00D61127" w:rsidRDefault="00D61127">
            <w:r>
              <w:t>Likert</w:t>
            </w:r>
          </w:p>
          <w:p w14:paraId="1B336857" w14:textId="77777777" w:rsidR="00D61127" w:rsidRDefault="00D61127">
            <w:proofErr w:type="spellStart"/>
            <w:r>
              <w:t>Herbeg</w:t>
            </w:r>
            <w:proofErr w:type="spellEnd"/>
          </w:p>
          <w:p w14:paraId="1E368C47" w14:textId="77777777" w:rsidR="00D61127" w:rsidRDefault="00D61127">
            <w:proofErr w:type="spellStart"/>
            <w:r>
              <w:t>Magregor</w:t>
            </w:r>
            <w:proofErr w:type="spellEnd"/>
          </w:p>
        </w:tc>
        <w:tc>
          <w:tcPr>
            <w:tcW w:w="153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04763" w14:textId="77777777" w:rsidR="00D61127" w:rsidRDefault="00D61127">
            <w:r>
              <w:t xml:space="preserve">Max Weber 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F7D03" w14:textId="77777777" w:rsidR="00D61127" w:rsidRDefault="00D61127">
            <w:r>
              <w:t xml:space="preserve">Chester </w:t>
            </w:r>
            <w:proofErr w:type="spellStart"/>
            <w:r>
              <w:t>Barnand</w:t>
            </w:r>
            <w:proofErr w:type="spellEnd"/>
            <w:r>
              <w:t xml:space="preserve"> y </w:t>
            </w:r>
            <w:proofErr w:type="spellStart"/>
            <w:r>
              <w:t>Vilfredo</w:t>
            </w:r>
            <w:proofErr w:type="spellEnd"/>
            <w:r>
              <w:t xml:space="preserve"> Pareto</w:t>
            </w:r>
          </w:p>
        </w:tc>
        <w:tc>
          <w:tcPr>
            <w:tcW w:w="124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5BCEB2" w14:textId="77777777" w:rsidR="00D61127" w:rsidRDefault="00D61127">
            <w:r>
              <w:t xml:space="preserve">Owen, </w:t>
            </w:r>
            <w:proofErr w:type="spellStart"/>
            <w:r>
              <w:t>Benjamin</w:t>
            </w:r>
            <w:proofErr w:type="spellEnd"/>
            <w:r>
              <w:t xml:space="preserve"> Cooper, </w:t>
            </w:r>
            <w:proofErr w:type="spellStart"/>
            <w:r>
              <w:t>Wilson,W</w:t>
            </w:r>
            <w:proofErr w:type="spellEnd"/>
            <w:r>
              <w:t xml:space="preserve">., A. </w:t>
            </w:r>
            <w:proofErr w:type="spellStart"/>
            <w:r>
              <w:t>Mueller</w:t>
            </w:r>
            <w:proofErr w:type="spellEnd"/>
          </w:p>
        </w:tc>
      </w:tr>
      <w:tr w:rsidR="006A04B8" w14:paraId="79FA2238" w14:textId="77777777" w:rsidTr="005B461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8A23F8A" w14:textId="77777777" w:rsidR="00D61127" w:rsidRDefault="00D61127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36C7936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2CB8F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7F69B" w14:textId="77777777" w:rsidR="00D61127" w:rsidRDefault="00D61127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C60FD" w14:textId="77777777" w:rsidR="00D61127" w:rsidRDefault="00D61127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1AB18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D81C0" w14:textId="77777777" w:rsidR="00D61127" w:rsidRDefault="00D61127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11767EA" w14:textId="77777777" w:rsidR="00D61127" w:rsidRDefault="00D61127"/>
        </w:tc>
      </w:tr>
      <w:tr w:rsidR="006A04B8" w14:paraId="1E331D50" w14:textId="77777777" w:rsidTr="005B461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0BFFB09D" w14:textId="77777777" w:rsidR="00D61127" w:rsidRDefault="00D61127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B27360C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16158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057E3" w14:textId="77777777" w:rsidR="00D61127" w:rsidRDefault="00D61127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8A763" w14:textId="77777777" w:rsidR="00D61127" w:rsidRDefault="00D61127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A4779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4C3E1" w14:textId="77777777" w:rsidR="00D61127" w:rsidRDefault="00D61127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9BB36D2" w14:textId="77777777" w:rsidR="00D61127" w:rsidRDefault="00D61127"/>
        </w:tc>
      </w:tr>
      <w:tr w:rsidR="006A04B8" w14:paraId="6579AF55" w14:textId="77777777" w:rsidTr="005B461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29F845AE" w14:textId="77777777" w:rsidR="00D61127" w:rsidRDefault="00D61127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14" w:space="0" w:color="000000"/>
              <w:right w:val="single" w:sz="7" w:space="0" w:color="000000"/>
            </w:tcBorders>
          </w:tcPr>
          <w:p w14:paraId="3495DFDB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74B99E83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1002EC26" w14:textId="77777777" w:rsidR="00D61127" w:rsidRDefault="00D61127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5B2A1823" w14:textId="77777777" w:rsidR="00D61127" w:rsidRDefault="00D61127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78ECE89A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33A45FBF" w14:textId="77777777" w:rsidR="00D61127" w:rsidRDefault="00D61127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1" w:space="0" w:color="000000"/>
            </w:tcBorders>
          </w:tcPr>
          <w:p w14:paraId="43F9E958" w14:textId="77777777" w:rsidR="00D61127" w:rsidRDefault="00D61127"/>
        </w:tc>
      </w:tr>
      <w:tr w:rsidR="006A04B8" w14:paraId="4B4FD7FB" w14:textId="77777777" w:rsidTr="005B4619">
        <w:trPr>
          <w:trHeight w:val="269"/>
        </w:trPr>
        <w:tc>
          <w:tcPr>
            <w:tcW w:w="1373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14:paraId="08482BF8" w14:textId="77777777" w:rsidR="00D61127" w:rsidRDefault="00D61127">
            <w:pPr>
              <w:ind w:left="93"/>
              <w:jc w:val="center"/>
            </w:pPr>
            <w:r>
              <w:rPr>
                <w:sz w:val="20"/>
              </w:rPr>
              <w:t>Enfoque</w:t>
            </w:r>
          </w:p>
        </w:tc>
        <w:tc>
          <w:tcPr>
            <w:tcW w:w="1189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3CB85A3" w14:textId="77777777" w:rsidR="00D61127" w:rsidRDefault="00D61127">
            <w:r>
              <w:t>Heredera del espíritu positivista de comienzos del siglo XX, esta escuela aspiraba a estudiar la administración desde un punto de vista comproba</w:t>
            </w:r>
            <w:r>
              <w:lastRenderedPageBreak/>
              <w:t>ble, objetivo, científico, que diera con sus reglas universales, tal y como ocurre con las ciencias exactas. La mayor parte de las veces, implicaba dar con fórmulas para maximizar la producción y mejorar la eficiencia de los trabajadores.</w:t>
            </w:r>
          </w:p>
          <w:p w14:paraId="41D28F10" w14:textId="77777777" w:rsidR="00D61127" w:rsidRDefault="00D61127"/>
          <w:p w14:paraId="45C73247" w14:textId="77777777" w:rsidR="00D61127" w:rsidRDefault="00D61127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E0A2FE" w14:textId="77777777" w:rsidR="0070255C" w:rsidRDefault="0070255C">
            <w:pPr>
              <w:pStyle w:val="NormalWeb"/>
              <w:spacing w:before="0" w:beforeAutospacing="0" w:after="365" w:afterAutospacing="0"/>
              <w:divId w:val="1573661758"/>
              <w:rPr>
                <w:rFonts w:ascii="Montserrat" w:hAnsi="Montserrat"/>
                <w:color w:val="000000"/>
                <w:sz w:val="21"/>
                <w:szCs w:val="21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</w:rPr>
              <w:lastRenderedPageBreak/>
              <w:t>Conocida también como la escuela “operacional” o “del </w:t>
            </w:r>
            <w:hyperlink r:id="rId6" w:history="1">
              <w:r>
                <w:rPr>
                  <w:rStyle w:val="Hipervnculovisitado"/>
                  <w:rFonts w:ascii="Montserrat" w:hAnsi="Montserrat"/>
                  <w:color w:val="E84E2B"/>
                  <w:sz w:val="21"/>
                  <w:szCs w:val="21"/>
                </w:rPr>
                <w:t>proceso administrativo</w:t>
              </w:r>
            </w:hyperlink>
            <w:r>
              <w:rPr>
                <w:rFonts w:ascii="Montserrat" w:hAnsi="Montserrat"/>
                <w:color w:val="000000"/>
                <w:sz w:val="21"/>
                <w:szCs w:val="21"/>
              </w:rPr>
              <w:t>”, esta corriente considera que en todos los hechos administrativos, por diferentes que sean, pueden identificarse más o menos las mismas </w:t>
            </w:r>
            <w:hyperlink r:id="rId7" w:history="1">
              <w:r>
                <w:rPr>
                  <w:rStyle w:val="Hipervnculovisitado"/>
                  <w:rFonts w:ascii="Montserrat" w:hAnsi="Montserrat"/>
                  <w:color w:val="E84E2B"/>
                  <w:sz w:val="21"/>
                  <w:szCs w:val="21"/>
                </w:rPr>
                <w:t>funciones</w:t>
              </w:r>
            </w:hyperlink>
            <w:r>
              <w:rPr>
                <w:rFonts w:ascii="Montserrat" w:hAnsi="Montserrat"/>
                <w:color w:val="000000"/>
                <w:sz w:val="21"/>
                <w:szCs w:val="21"/>
              </w:rPr>
              <w:t> y por lo tanto aplican ciertos principios universales.</w:t>
            </w:r>
          </w:p>
          <w:p w14:paraId="15D98B8B" w14:textId="77777777" w:rsidR="0070255C" w:rsidRDefault="0070255C">
            <w:pPr>
              <w:pStyle w:val="NormalWeb"/>
              <w:spacing w:before="0" w:beforeAutospacing="0" w:after="365" w:afterAutospacing="0"/>
              <w:divId w:val="1573661758"/>
              <w:rPr>
                <w:rFonts w:ascii="Montserrat" w:hAnsi="Montserrat"/>
                <w:color w:val="000000"/>
                <w:sz w:val="21"/>
                <w:szCs w:val="21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</w:rPr>
              <w:lastRenderedPageBreak/>
              <w:t>Por ende, la labor del administrador ha de ser la identificación de dichas funciones y su adecuación a ciertos patrones ideales, para lo cual clasifica las funciones de la siguiente manera:</w:t>
            </w:r>
          </w:p>
          <w:p w14:paraId="55CB1FD9" w14:textId="77777777" w:rsidR="0070255C" w:rsidRDefault="0070255C" w:rsidP="007025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85"/>
              <w:divId w:val="1573661758"/>
              <w:rPr>
                <w:rFonts w:ascii="Montserrat" w:eastAsia="Times New Roman" w:hAnsi="Montserrat"/>
                <w:sz w:val="21"/>
                <w:szCs w:val="21"/>
                <w:lang w:bidi="ar-SA"/>
              </w:rPr>
            </w:pPr>
            <w:r>
              <w:rPr>
                <w:rStyle w:val="Textoennegrita"/>
                <w:rFonts w:ascii="Montserrat" w:eastAsia="Times New Roman" w:hAnsi="Montserrat"/>
                <w:sz w:val="21"/>
                <w:szCs w:val="21"/>
                <w:lang w:bidi="ar-SA"/>
              </w:rPr>
              <w:t>Funciones técnicas</w:t>
            </w:r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t>, que tienen que ver con la dinámica de producción de bienes;</w:t>
            </w:r>
          </w:p>
          <w:p w14:paraId="6C91A531" w14:textId="77777777" w:rsidR="0070255C" w:rsidRDefault="0070255C" w:rsidP="007025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85"/>
              <w:divId w:val="1573661758"/>
              <w:rPr>
                <w:rFonts w:ascii="Montserrat" w:eastAsia="Times New Roman" w:hAnsi="Montserrat"/>
                <w:sz w:val="21"/>
                <w:szCs w:val="21"/>
                <w:lang w:bidi="ar-SA"/>
              </w:rPr>
            </w:pPr>
            <w:r>
              <w:rPr>
                <w:rStyle w:val="Textoennegrita"/>
                <w:rFonts w:ascii="Montserrat" w:eastAsia="Times New Roman" w:hAnsi="Montserrat"/>
                <w:sz w:val="21"/>
                <w:szCs w:val="21"/>
                <w:lang w:bidi="ar-SA"/>
              </w:rPr>
              <w:t>Funciones comerciales</w:t>
            </w:r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t>, que tienen que ver con las operaciones de intercambio (</w:t>
            </w:r>
            <w:hyperlink r:id="rId8" w:history="1">
              <w:r>
                <w:rPr>
                  <w:rStyle w:val="Hipervnculovisitado"/>
                  <w:rFonts w:ascii="Montserrat" w:eastAsia="Times New Roman" w:hAnsi="Montserrat"/>
                  <w:color w:val="E84E2B"/>
                  <w:sz w:val="21"/>
                  <w:szCs w:val="21"/>
                  <w:lang w:bidi="ar-SA"/>
                </w:rPr>
                <w:t>compra</w:t>
              </w:r>
            </w:hyperlink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t>, venta y cambio) de </w:t>
            </w:r>
            <w:hyperlink r:id="rId9" w:history="1">
              <w:r>
                <w:rPr>
                  <w:rStyle w:val="Hipervnculovisitado"/>
                  <w:rFonts w:ascii="Montserrat" w:eastAsia="Times New Roman" w:hAnsi="Montserrat"/>
                  <w:color w:val="E84E2B"/>
                  <w:sz w:val="21"/>
                  <w:szCs w:val="21"/>
                  <w:lang w:bidi="ar-SA"/>
                </w:rPr>
                <w:t>productos</w:t>
              </w:r>
            </w:hyperlink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t>;</w:t>
            </w:r>
          </w:p>
          <w:p w14:paraId="2A7B2F14" w14:textId="77777777" w:rsidR="0070255C" w:rsidRDefault="0070255C" w:rsidP="007025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85"/>
              <w:divId w:val="1573661758"/>
              <w:rPr>
                <w:rFonts w:ascii="Montserrat" w:eastAsia="Times New Roman" w:hAnsi="Montserrat"/>
                <w:sz w:val="21"/>
                <w:szCs w:val="21"/>
                <w:lang w:bidi="ar-SA"/>
              </w:rPr>
            </w:pPr>
            <w:r>
              <w:rPr>
                <w:rStyle w:val="Textoennegrita"/>
                <w:rFonts w:ascii="Montserrat" w:eastAsia="Times New Roman" w:hAnsi="Montserrat"/>
                <w:sz w:val="21"/>
                <w:szCs w:val="21"/>
                <w:lang w:bidi="ar-SA"/>
              </w:rPr>
              <w:t>Funciones financieras</w:t>
            </w:r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t>, que tienen que ver con la obtención y la aplicación de </w:t>
            </w:r>
            <w:hyperlink r:id="rId10" w:history="1">
              <w:r>
                <w:rPr>
                  <w:rStyle w:val="Hipervnculovisitado"/>
                  <w:rFonts w:ascii="Montserrat" w:eastAsia="Times New Roman" w:hAnsi="Montserrat"/>
                  <w:color w:val="E84E2B"/>
                  <w:sz w:val="21"/>
                  <w:szCs w:val="21"/>
                  <w:lang w:bidi="ar-SA"/>
                </w:rPr>
                <w:t>recursos financieros</w:t>
              </w:r>
            </w:hyperlink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t>;</w:t>
            </w:r>
          </w:p>
          <w:p w14:paraId="52C9E9DB" w14:textId="77777777" w:rsidR="0070255C" w:rsidRDefault="0070255C" w:rsidP="007025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85"/>
              <w:divId w:val="1573661758"/>
              <w:rPr>
                <w:rFonts w:ascii="Montserrat" w:eastAsia="Times New Roman" w:hAnsi="Montserrat"/>
                <w:sz w:val="21"/>
                <w:szCs w:val="21"/>
                <w:lang w:bidi="ar-SA"/>
              </w:rPr>
            </w:pPr>
            <w:r>
              <w:rPr>
                <w:rStyle w:val="Textoennegrita"/>
                <w:rFonts w:ascii="Montserrat" w:eastAsia="Times New Roman" w:hAnsi="Montserrat"/>
                <w:sz w:val="21"/>
                <w:szCs w:val="21"/>
                <w:lang w:bidi="ar-SA"/>
              </w:rPr>
              <w:lastRenderedPageBreak/>
              <w:t>Funciones contables</w:t>
            </w:r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t>, que tienen que ver con los </w:t>
            </w:r>
            <w:hyperlink r:id="rId11" w:history="1">
              <w:r>
                <w:rPr>
                  <w:rStyle w:val="Hipervnculovisitado"/>
                  <w:rFonts w:ascii="Montserrat" w:eastAsia="Times New Roman" w:hAnsi="Montserrat"/>
                  <w:color w:val="E84E2B"/>
                  <w:sz w:val="21"/>
                  <w:szCs w:val="21"/>
                  <w:lang w:bidi="ar-SA"/>
                </w:rPr>
                <w:t>inventarios</w:t>
              </w:r>
            </w:hyperlink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t>, balances y </w:t>
            </w:r>
            <w:hyperlink r:id="rId12" w:history="1">
              <w:r>
                <w:rPr>
                  <w:rStyle w:val="Hipervnculovisitado"/>
                  <w:rFonts w:ascii="Montserrat" w:eastAsia="Times New Roman" w:hAnsi="Montserrat"/>
                  <w:color w:val="E84E2B"/>
                  <w:sz w:val="21"/>
                  <w:szCs w:val="21"/>
                  <w:lang w:bidi="ar-SA"/>
                </w:rPr>
                <w:t>estadísticas</w:t>
              </w:r>
            </w:hyperlink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t> de funcionamiento del sistema productivo;</w:t>
            </w:r>
          </w:p>
          <w:p w14:paraId="271D5D5D" w14:textId="77777777" w:rsidR="0070255C" w:rsidRDefault="0070255C" w:rsidP="007025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85"/>
              <w:divId w:val="1573661758"/>
              <w:rPr>
                <w:rFonts w:ascii="Montserrat" w:eastAsia="Times New Roman" w:hAnsi="Montserrat"/>
                <w:sz w:val="21"/>
                <w:szCs w:val="21"/>
                <w:lang w:bidi="ar-SA"/>
              </w:rPr>
            </w:pPr>
            <w:r>
              <w:rPr>
                <w:rStyle w:val="Textoennegrita"/>
                <w:rFonts w:ascii="Montserrat" w:eastAsia="Times New Roman" w:hAnsi="Montserrat"/>
                <w:sz w:val="21"/>
                <w:szCs w:val="21"/>
                <w:lang w:bidi="ar-SA"/>
              </w:rPr>
              <w:t>Funciones de seguridad</w:t>
            </w:r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t>, que tienen que ver con la protección de los bienes y las personas para preservar su utilidad de cara al </w:t>
            </w:r>
            <w:hyperlink r:id="rId13" w:history="1">
              <w:r>
                <w:rPr>
                  <w:rStyle w:val="Hipervnculovisitado"/>
                  <w:rFonts w:ascii="Montserrat" w:eastAsia="Times New Roman" w:hAnsi="Montserrat"/>
                  <w:color w:val="E84E2B"/>
                  <w:sz w:val="21"/>
                  <w:szCs w:val="21"/>
                  <w:lang w:bidi="ar-SA"/>
                </w:rPr>
                <w:t>proceso productivo</w:t>
              </w:r>
            </w:hyperlink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t>;</w:t>
            </w:r>
          </w:p>
          <w:p w14:paraId="2C93745B" w14:textId="77777777" w:rsidR="0070255C" w:rsidRDefault="0070255C" w:rsidP="007025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85"/>
              <w:divId w:val="1573661758"/>
              <w:rPr>
                <w:rFonts w:ascii="Montserrat" w:eastAsia="Times New Roman" w:hAnsi="Montserrat"/>
                <w:sz w:val="21"/>
                <w:szCs w:val="21"/>
                <w:lang w:bidi="ar-SA"/>
              </w:rPr>
            </w:pPr>
            <w:r>
              <w:rPr>
                <w:rStyle w:val="Textoennegrita"/>
                <w:rFonts w:ascii="Montserrat" w:eastAsia="Times New Roman" w:hAnsi="Montserrat"/>
                <w:sz w:val="21"/>
                <w:szCs w:val="21"/>
                <w:lang w:bidi="ar-SA"/>
              </w:rPr>
              <w:t>Funciones administrativas</w:t>
            </w:r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t xml:space="preserve">, entendidas como una mezcla de prever, organizar, coordinar y controlar, todo en </w:t>
            </w:r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lastRenderedPageBreak/>
              <w:t>manos de los administradores.</w:t>
            </w:r>
          </w:p>
          <w:p w14:paraId="2FE38A0C" w14:textId="77777777" w:rsidR="00D61127" w:rsidRDefault="0070255C"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br/>
            </w:r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br/>
            </w:r>
            <w:r w:rsidR="00AC717D">
              <w:t xml:space="preserve"> 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3B0AC" w14:textId="77777777" w:rsidR="00D61127" w:rsidRDefault="005E1CDA">
            <w:r>
              <w:rPr>
                <w:rStyle w:val="Textoennegrita"/>
                <w:rFonts w:ascii="Montserrat" w:eastAsia="Times New Roman" w:hAnsi="Montserrat"/>
                <w:sz w:val="21"/>
                <w:szCs w:val="21"/>
                <w:lang w:bidi="ar-SA"/>
              </w:rPr>
              <w:lastRenderedPageBreak/>
              <w:t>se centra en el elemento humano de los procesos administrativos</w:t>
            </w:r>
            <w:r>
              <w:rPr>
                <w:rFonts w:ascii="Montserrat" w:eastAsia="Times New Roman" w:hAnsi="Montserrat"/>
                <w:sz w:val="21"/>
                <w:szCs w:val="21"/>
                <w:shd w:val="clear" w:color="auto" w:fill="FFFFFF"/>
                <w:lang w:bidi="ar-SA"/>
              </w:rPr>
              <w:t>, haciendo énfasis en que no es lo mismo lidiar con gente que con procesos automáticos.</w:t>
            </w:r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br/>
            </w:r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lastRenderedPageBreak/>
              <w:br/>
            </w:r>
            <w:r w:rsidR="002D76D3">
              <w:t xml:space="preserve"> </w:t>
            </w:r>
          </w:p>
        </w:tc>
        <w:tc>
          <w:tcPr>
            <w:tcW w:w="128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D86CF" w14:textId="77777777" w:rsidR="00D61127" w:rsidRDefault="005F3CB2">
            <w:r>
              <w:lastRenderedPageBreak/>
              <w:t xml:space="preserve">Analiza el comportamiento humano en el trabajo desde una perspectiva individual y la motivación. Se centra en aumentar la productividad mediante el </w:t>
            </w:r>
            <w:r>
              <w:lastRenderedPageBreak/>
              <w:t>estímulo de la motivación y la imposición de objetivos.</w:t>
            </w:r>
          </w:p>
        </w:tc>
        <w:tc>
          <w:tcPr>
            <w:tcW w:w="153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98240" w14:textId="77777777" w:rsidR="00AB15F1" w:rsidRDefault="00AB15F1">
            <w:r>
              <w:lastRenderedPageBreak/>
              <w:t xml:space="preserve">El enfoque estructuralista ve la administración como una dinámica integrada al sistema social, o sea, a todo tipo de organizaciones externas y medios sociales de </w:t>
            </w:r>
            <w:r>
              <w:lastRenderedPageBreak/>
              <w:t>los que recibe una importante influencia. Por eso, se propone en primer lugar entender la evolución histórica de las sociedades y sus principales tipos de organizaciones, para entender el impacto que tuvo en la sociedad la llegada de la Revolución Ind</w:t>
            </w:r>
            <w:r w:rsidR="00BE7BDD">
              <w:t>ustrial.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69CEE" w14:textId="77777777" w:rsidR="006A04B8" w:rsidRDefault="006A04B8">
            <w:pPr>
              <w:pStyle w:val="NormalWeb"/>
              <w:spacing w:before="0" w:beforeAutospacing="0" w:after="365" w:afterAutospacing="0"/>
              <w:divId w:val="264308705"/>
              <w:rPr>
                <w:rFonts w:ascii="Montserrat" w:hAnsi="Montserrat"/>
                <w:color w:val="000000"/>
                <w:sz w:val="21"/>
                <w:szCs w:val="21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</w:rPr>
              <w:lastRenderedPageBreak/>
              <w:t xml:space="preserve">trajo consigo un nuevo enfoque al estudio de la administración desde una perspectiva humana, aunque abordándola desde una perspectiva más amplia que las </w:t>
            </w:r>
            <w:r>
              <w:rPr>
                <w:rFonts w:ascii="Montserrat" w:hAnsi="Montserrat"/>
                <w:color w:val="000000"/>
                <w:sz w:val="21"/>
                <w:szCs w:val="21"/>
              </w:rPr>
              <w:lastRenderedPageBreak/>
              <w:t>escuelas anteriores.</w:t>
            </w:r>
          </w:p>
          <w:p w14:paraId="5DBF1B78" w14:textId="77777777" w:rsidR="006A04B8" w:rsidRDefault="006A04B8">
            <w:pPr>
              <w:pStyle w:val="NormalWeb"/>
              <w:spacing w:before="0" w:beforeAutospacing="0" w:after="365" w:afterAutospacing="0"/>
              <w:divId w:val="264308705"/>
              <w:rPr>
                <w:rFonts w:ascii="Montserrat" w:hAnsi="Montserrat"/>
                <w:color w:val="000000"/>
                <w:sz w:val="21"/>
                <w:szCs w:val="21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</w:rPr>
              <w:t xml:space="preserve">De hecho, esta escuela reivindica las experiencias de Elton Mayo, aunque en realidad sus principales exponentes fueron el alemán </w:t>
            </w:r>
            <w:proofErr w:type="spellStart"/>
            <w:r>
              <w:rPr>
                <w:rFonts w:ascii="Montserrat" w:hAnsi="Montserrat"/>
                <w:color w:val="000000"/>
                <w:sz w:val="21"/>
                <w:szCs w:val="21"/>
              </w:rPr>
              <w:t>Kurt</w:t>
            </w:r>
            <w:proofErr w:type="spellEnd"/>
            <w:r>
              <w:rPr>
                <w:rFonts w:ascii="Montserrat" w:hAnsi="Montserrat"/>
                <w:color w:val="000000"/>
                <w:sz w:val="21"/>
                <w:szCs w:val="21"/>
              </w:rPr>
              <w:t xml:space="preserve"> Lewin (1890-1947) y el estadounidense Douglas </w:t>
            </w:r>
            <w:proofErr w:type="spellStart"/>
            <w:r>
              <w:rPr>
                <w:rFonts w:ascii="Montserrat" w:hAnsi="Montserrat"/>
                <w:color w:val="000000"/>
                <w:sz w:val="21"/>
                <w:szCs w:val="21"/>
              </w:rPr>
              <w:t>McGregor</w:t>
            </w:r>
            <w:proofErr w:type="spellEnd"/>
            <w:r>
              <w:rPr>
                <w:rFonts w:ascii="Montserrat" w:hAnsi="Montserrat"/>
                <w:color w:val="000000"/>
                <w:sz w:val="21"/>
                <w:szCs w:val="21"/>
              </w:rPr>
              <w:t xml:space="preserve"> (1906-1964).</w:t>
            </w:r>
          </w:p>
          <w:p w14:paraId="078DAF9A" w14:textId="77777777" w:rsidR="006A04B8" w:rsidRDefault="006A04B8">
            <w:pPr>
              <w:pStyle w:val="NormalWeb"/>
              <w:spacing w:before="0" w:beforeAutospacing="0" w:after="365" w:afterAutospacing="0"/>
              <w:divId w:val="264308705"/>
              <w:rPr>
                <w:rFonts w:ascii="Montserrat" w:hAnsi="Montserrat"/>
                <w:color w:val="000000"/>
                <w:sz w:val="21"/>
                <w:szCs w:val="21"/>
              </w:rPr>
            </w:pPr>
            <w:r>
              <w:rPr>
                <w:rFonts w:ascii="Montserrat" w:hAnsi="Montserrat"/>
                <w:color w:val="000000"/>
                <w:sz w:val="21"/>
                <w:szCs w:val="21"/>
              </w:rPr>
              <w:t xml:space="preserve">Lewin fue uno de los pioneros de la psicología social experimental, la psicología organizacional y la psicología aplicada, considerado uno de los “Cuatro grandes” de la psicología </w:t>
            </w:r>
            <w:proofErr w:type="spellStart"/>
            <w:r>
              <w:rPr>
                <w:rFonts w:ascii="Montserrat" w:hAnsi="Montserrat"/>
                <w:color w:val="000000"/>
                <w:sz w:val="21"/>
                <w:szCs w:val="21"/>
              </w:rPr>
              <w:t>gestaltiana</w:t>
            </w:r>
            <w:proofErr w:type="spellEnd"/>
            <w:r>
              <w:rPr>
                <w:rFonts w:ascii="Montserrat" w:hAnsi="Montserrat"/>
                <w:color w:val="000000"/>
                <w:sz w:val="21"/>
                <w:szCs w:val="21"/>
              </w:rPr>
              <w:t xml:space="preserve"> alemana. Su aporte a la escuela fue fundacional, a través del estudio dinámico de </w:t>
            </w:r>
            <w:r>
              <w:rPr>
                <w:rFonts w:ascii="Montserrat" w:hAnsi="Montserrat"/>
                <w:color w:val="000000"/>
                <w:sz w:val="21"/>
                <w:szCs w:val="21"/>
              </w:rPr>
              <w:lastRenderedPageBreak/>
              <w:t>pequeños grupos, en el que </w:t>
            </w:r>
            <w:r>
              <w:rPr>
                <w:rStyle w:val="Hipervnculovisitado"/>
                <w:rFonts w:ascii="Montserrat" w:hAnsi="Montserrat"/>
                <w:color w:val="000000"/>
                <w:sz w:val="21"/>
                <w:szCs w:val="21"/>
              </w:rPr>
              <w:t>destacó las virtudes de la integración y participación de los trabajadores en el proceso productivo</w:t>
            </w:r>
            <w:r>
              <w:rPr>
                <w:rFonts w:ascii="Montserrat" w:hAnsi="Montserrat"/>
                <w:color w:val="000000"/>
                <w:sz w:val="21"/>
                <w:szCs w:val="21"/>
              </w:rPr>
              <w:t>.</w:t>
            </w:r>
          </w:p>
          <w:p w14:paraId="619654BA" w14:textId="77777777" w:rsidR="00D61127" w:rsidRDefault="006A04B8"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br/>
            </w:r>
            <w:r>
              <w:rPr>
                <w:rFonts w:ascii="Montserrat" w:eastAsia="Times New Roman" w:hAnsi="Montserrat"/>
                <w:sz w:val="21"/>
                <w:szCs w:val="21"/>
                <w:lang w:bidi="ar-SA"/>
              </w:rPr>
              <w:br/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F3D3CBC" w14:textId="77777777" w:rsidR="00D61127" w:rsidRDefault="00365B6E">
            <w:r w:rsidRPr="00365B6E">
              <w:lastRenderedPageBreak/>
              <w:t>Implica el conocimiento de matemática superior, estadística matemática y cálculo de probabilidades. Además de eso, es indispensable, que a sus conocimie</w:t>
            </w:r>
            <w:r w:rsidRPr="00365B6E">
              <w:lastRenderedPageBreak/>
              <w:t>ntos de matemática clásica, sean agregados los de la llamada matemática moderna y el dominio de las ciencias de la computación.</w:t>
            </w:r>
          </w:p>
        </w:tc>
      </w:tr>
      <w:tr w:rsidR="006A04B8" w14:paraId="271D12F8" w14:textId="77777777" w:rsidTr="005B461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511D904C" w14:textId="77777777" w:rsidR="00D61127" w:rsidRDefault="00D61127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635A4D3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11E1B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C910D" w14:textId="77777777" w:rsidR="00D61127" w:rsidRDefault="00D61127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5961C" w14:textId="77777777" w:rsidR="00D61127" w:rsidRDefault="00D61127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CA0B6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E5F94" w14:textId="77777777" w:rsidR="00D61127" w:rsidRDefault="00D61127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A75752E" w14:textId="77777777" w:rsidR="00D61127" w:rsidRDefault="00D61127"/>
        </w:tc>
      </w:tr>
      <w:tr w:rsidR="006A04B8" w14:paraId="0D358D1D" w14:textId="77777777" w:rsidTr="005B461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216D82D8" w14:textId="77777777" w:rsidR="00D61127" w:rsidRDefault="00D61127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1416EA4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E38B5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25B42" w14:textId="77777777" w:rsidR="00D61127" w:rsidRDefault="00D61127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3E0AC" w14:textId="77777777" w:rsidR="00D61127" w:rsidRDefault="00D61127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EFD54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946FF" w14:textId="77777777" w:rsidR="00D61127" w:rsidRDefault="00D61127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8C5896B" w14:textId="77777777" w:rsidR="00D61127" w:rsidRDefault="00D61127"/>
        </w:tc>
      </w:tr>
      <w:tr w:rsidR="006A04B8" w14:paraId="466ABBC6" w14:textId="77777777" w:rsidTr="005B461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5A7350B3" w14:textId="77777777" w:rsidR="00D61127" w:rsidRDefault="00D61127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4EBC197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E7A2D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1CC4B" w14:textId="77777777" w:rsidR="00D61127" w:rsidRDefault="00D61127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718B6" w14:textId="77777777" w:rsidR="00D61127" w:rsidRDefault="00D61127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BD231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B4DA2" w14:textId="77777777" w:rsidR="00D61127" w:rsidRDefault="00D61127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1BE23A9" w14:textId="77777777" w:rsidR="00D61127" w:rsidRDefault="00D61127"/>
        </w:tc>
      </w:tr>
      <w:tr w:rsidR="006A04B8" w14:paraId="3BC41541" w14:textId="77777777" w:rsidTr="005B461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07B2694F" w14:textId="77777777" w:rsidR="00D61127" w:rsidRDefault="00D61127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27EAF06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D6348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67C6C" w14:textId="77777777" w:rsidR="00D61127" w:rsidRDefault="00D61127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02F13" w14:textId="77777777" w:rsidR="00D61127" w:rsidRDefault="00D61127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ABEB3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2A7DB" w14:textId="77777777" w:rsidR="00D61127" w:rsidRDefault="00D61127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20BE3355" w14:textId="77777777" w:rsidR="00D61127" w:rsidRDefault="00D61127"/>
        </w:tc>
      </w:tr>
      <w:tr w:rsidR="006A04B8" w14:paraId="35E809C2" w14:textId="77777777" w:rsidTr="005B461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5" w:space="0" w:color="000000"/>
            </w:tcBorders>
          </w:tcPr>
          <w:p w14:paraId="6C703321" w14:textId="77777777" w:rsidR="00D61127" w:rsidRDefault="00D61127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</w:tcPr>
          <w:p w14:paraId="276674FF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20A325CB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2DED9757" w14:textId="77777777" w:rsidR="00D61127" w:rsidRDefault="00D61127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0ED3C019" w14:textId="77777777" w:rsidR="00D61127" w:rsidRDefault="00D61127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6C7D2A3D" w14:textId="77777777" w:rsidR="00D61127" w:rsidRDefault="00D61127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18CA57FB" w14:textId="77777777" w:rsidR="00D61127" w:rsidRDefault="00D61127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259DE85D" w14:textId="77777777" w:rsidR="00D61127" w:rsidRDefault="00D61127"/>
        </w:tc>
      </w:tr>
    </w:tbl>
    <w:p w14:paraId="21CB2661" w14:textId="77777777" w:rsidR="005900EC" w:rsidRDefault="00550FE3">
      <w:pPr>
        <w:spacing w:after="100"/>
      </w:pPr>
      <w:r>
        <w:rPr>
          <w:color w:val="0000FF"/>
        </w:rPr>
        <w:t xml:space="preserve"> </w:t>
      </w:r>
    </w:p>
    <w:p w14:paraId="098C14FC" w14:textId="77777777" w:rsidR="00B7520D" w:rsidRPr="00B7520D" w:rsidRDefault="00550FE3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es el Fordismo y el taylorismo?    </w:t>
      </w:r>
    </w:p>
    <w:p w14:paraId="5E0DAE6F" w14:textId="77777777" w:rsidR="005900EC" w:rsidRDefault="00E21638" w:rsidP="00B7520D">
      <w:pPr>
        <w:spacing w:after="62" w:line="267" w:lineRule="auto"/>
        <w:ind w:left="693"/>
      </w:pPr>
      <w:r>
        <w:rPr>
          <w:sz w:val="30"/>
        </w:rPr>
        <w:t>El fordismo c</w:t>
      </w:r>
      <w:r w:rsidRPr="00E21638">
        <w:rPr>
          <w:sz w:val="30"/>
        </w:rPr>
        <w:t>onsiste en delegar una tarea determinada a cada trabajador, que se terminará especializando en ella y consiguiendo los mejores tiempos de trabajo.</w:t>
      </w:r>
      <w:r w:rsidR="00550FE3">
        <w:rPr>
          <w:sz w:val="30"/>
        </w:rPr>
        <w:t xml:space="preserve">  </w:t>
      </w:r>
      <w:r w:rsidR="00E0484D">
        <w:rPr>
          <w:sz w:val="30"/>
        </w:rPr>
        <w:t>El taylorismo s</w:t>
      </w:r>
      <w:r w:rsidR="00E0484D" w:rsidRPr="00E0484D">
        <w:rPr>
          <w:sz w:val="30"/>
        </w:rPr>
        <w:t>e fundamenta en la metodología empresarial desarrollada por Frederick Taylor, cuyo aporte fundamental fue, principalmente, la división del trabajo, la producción en cadena, y la eliminación de la autonomía temporal del empleado. Según Taylor, el trabajo tenía que ser dividido en tareas para aumentar la productividad.</w:t>
      </w:r>
      <w:r w:rsidR="00550FE3">
        <w:rPr>
          <w:sz w:val="30"/>
        </w:rPr>
        <w:t xml:space="preserve"> </w:t>
      </w:r>
    </w:p>
    <w:p w14:paraId="4DE9BC94" w14:textId="77777777" w:rsidR="005900EC" w:rsidRPr="00AB2126" w:rsidRDefault="00550FE3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¿Cuáles son las diferencias del taylorismo y del fordismo? </w:t>
      </w:r>
    </w:p>
    <w:p w14:paraId="1AF454F5" w14:textId="77777777" w:rsidR="00AB2126" w:rsidRDefault="00A0230B" w:rsidP="00AB2126">
      <w:pPr>
        <w:spacing w:after="62" w:line="267" w:lineRule="auto"/>
        <w:ind w:left="693"/>
      </w:pPr>
      <w:r w:rsidRPr="00A0230B">
        <w:rPr>
          <w:sz w:val="30"/>
        </w:rPr>
        <w:t xml:space="preserve">Las normas tayloristas se basaban en el principio de rendimiento individual, mientras que las normas fordistas de </w:t>
      </w:r>
      <w:r w:rsidRPr="0067476D">
        <w:rPr>
          <w:sz w:val="30"/>
        </w:rPr>
        <w:t>productiv</w:t>
      </w:r>
      <w:r w:rsidR="0067476D" w:rsidRPr="0067476D">
        <w:rPr>
          <w:sz w:val="30"/>
        </w:rPr>
        <w:t>idad</w:t>
      </w:r>
      <w:r w:rsidR="0067476D">
        <w:rPr>
          <w:sz w:val="30"/>
        </w:rPr>
        <w:t xml:space="preserve"> </w:t>
      </w:r>
      <w:r w:rsidRPr="0067476D">
        <w:rPr>
          <w:sz w:val="30"/>
        </w:rPr>
        <w:t>hacían</w:t>
      </w:r>
      <w:r w:rsidRPr="00A0230B">
        <w:rPr>
          <w:sz w:val="30"/>
        </w:rPr>
        <w:t xml:space="preserve"> hincapié en el aumento de la intensificación del trabajo.</w:t>
      </w:r>
    </w:p>
    <w:p w14:paraId="2A6BF0A7" w14:textId="77777777" w:rsidR="005900EC" w:rsidRPr="00A0230B" w:rsidRDefault="00550FE3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tienen en común el taylorismo y el fordismo? </w:t>
      </w:r>
    </w:p>
    <w:p w14:paraId="09FC129C" w14:textId="77777777" w:rsidR="00A0230B" w:rsidRPr="0067476D" w:rsidRDefault="008D4B82" w:rsidP="00A0230B">
      <w:pPr>
        <w:spacing w:after="62" w:line="267" w:lineRule="auto"/>
        <w:ind w:left="693"/>
        <w:rPr>
          <w:sz w:val="28"/>
          <w:szCs w:val="28"/>
        </w:rPr>
      </w:pPr>
      <w:r w:rsidRPr="0067476D">
        <w:rPr>
          <w:sz w:val="28"/>
          <w:szCs w:val="28"/>
        </w:rPr>
        <w:t>En términos generales, el taylorismo y el fordismo son dos sistemas de organización del trabajo orientados hacia la creación de plusvalía relativa, pues su aspiración central es la de aumentar la productividad.</w:t>
      </w:r>
    </w:p>
    <w:p w14:paraId="26629947" w14:textId="77777777" w:rsidR="005900EC" w:rsidRPr="007D44AA" w:rsidRDefault="00550FE3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Taylor en la actualidad? </w:t>
      </w:r>
    </w:p>
    <w:p w14:paraId="2F9F11E2" w14:textId="77777777" w:rsidR="007D44AA" w:rsidRPr="008F0C76" w:rsidRDefault="00790344" w:rsidP="007D44AA">
      <w:pPr>
        <w:spacing w:after="62" w:line="267" w:lineRule="auto"/>
        <w:ind w:left="693"/>
        <w:rPr>
          <w:color w:val="000000" w:themeColor="text1"/>
          <w:sz w:val="28"/>
          <w:szCs w:val="28"/>
        </w:rPr>
      </w:pPr>
      <w:r w:rsidRPr="008F0C76">
        <w:rPr>
          <w:color w:val="000000" w:themeColor="text1"/>
          <w:sz w:val="28"/>
          <w:szCs w:val="28"/>
        </w:rPr>
        <w:t xml:space="preserve">Este principio ha sido aplicado en la gestión moderna a través de la implementación de programas de capacitación y desarrollo de habilidades. Además, la administración científica propone la estandarización de los procesos para garantizar la </w:t>
      </w:r>
      <w:r w:rsidR="008F0C76" w:rsidRPr="008F0C76">
        <w:rPr>
          <w:color w:val="000000" w:themeColor="text1"/>
          <w:sz w:val="28"/>
          <w:szCs w:val="28"/>
        </w:rPr>
        <w:t>repetitividad</w:t>
      </w:r>
      <w:r w:rsidRPr="008F0C76">
        <w:rPr>
          <w:color w:val="000000" w:themeColor="text1"/>
          <w:sz w:val="28"/>
          <w:szCs w:val="28"/>
        </w:rPr>
        <w:t xml:space="preserve"> y la eficiencia.</w:t>
      </w:r>
    </w:p>
    <w:p w14:paraId="047DE3D2" w14:textId="77777777" w:rsidR="005900EC" w:rsidRPr="008F0C76" w:rsidRDefault="00550FE3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Fayol en la actualidad? </w:t>
      </w:r>
    </w:p>
    <w:p w14:paraId="6C99A529" w14:textId="77777777" w:rsidR="008434DD" w:rsidRPr="008434DD" w:rsidRDefault="008434DD" w:rsidP="008F0C76">
      <w:pPr>
        <w:spacing w:after="62" w:line="267" w:lineRule="auto"/>
        <w:ind w:left="693"/>
        <w:rPr>
          <w:sz w:val="28"/>
          <w:szCs w:val="28"/>
        </w:rPr>
      </w:pPr>
      <w:r w:rsidRPr="008434DD">
        <w:rPr>
          <w:sz w:val="28"/>
          <w:szCs w:val="28"/>
        </w:rPr>
        <w:t>Aplicación de los principios de Fayol</w:t>
      </w:r>
    </w:p>
    <w:p w14:paraId="5D6206BC" w14:textId="77777777" w:rsidR="008434DD" w:rsidRPr="008434DD" w:rsidRDefault="008434DD" w:rsidP="008F0C76">
      <w:pPr>
        <w:spacing w:after="62" w:line="267" w:lineRule="auto"/>
        <w:ind w:left="693"/>
        <w:rPr>
          <w:sz w:val="28"/>
          <w:szCs w:val="28"/>
        </w:rPr>
      </w:pPr>
      <w:r w:rsidRPr="008434DD">
        <w:rPr>
          <w:sz w:val="28"/>
          <w:szCs w:val="28"/>
        </w:rPr>
        <w:lastRenderedPageBreak/>
        <w:t>En la actualidad, esta función ha sido superada por la aplicación de metodologías y herramientas de diversa índole como la reestructuración organizacional, la reingeniería y otros procesos de cambio continuo con los que se busca gestionar de manera eficiente las organizaciones.</w:t>
      </w:r>
    </w:p>
    <w:p w14:paraId="14A94945" w14:textId="77777777" w:rsidR="005900EC" w:rsidRPr="003D3763" w:rsidRDefault="00550FE3">
      <w:pPr>
        <w:numPr>
          <w:ilvl w:val="0"/>
          <w:numId w:val="1"/>
        </w:numPr>
        <w:spacing w:after="10" w:line="267" w:lineRule="auto"/>
        <w:ind w:hanging="348"/>
      </w:pPr>
      <w:r>
        <w:rPr>
          <w:sz w:val="30"/>
        </w:rPr>
        <w:t xml:space="preserve">¿Cuál considera usted es la importancia de las escuelas para la administración de hoy? </w:t>
      </w:r>
    </w:p>
    <w:p w14:paraId="3D6C8FEB" w14:textId="77777777" w:rsidR="003D3763" w:rsidRPr="00550FE3" w:rsidRDefault="001D00E9" w:rsidP="003D3763">
      <w:pPr>
        <w:spacing w:after="10" w:line="267" w:lineRule="auto"/>
        <w:ind w:left="693"/>
        <w:rPr>
          <w:sz w:val="28"/>
          <w:szCs w:val="28"/>
        </w:rPr>
      </w:pPr>
      <w:r w:rsidRPr="00550FE3">
        <w:rPr>
          <w:sz w:val="28"/>
          <w:szCs w:val="28"/>
        </w:rPr>
        <w:t>Facilita el manejo de las instituciones académicas gracias a herramientas como desarrollo de cursos, gestión de cobros y pagos, asignación de tareas, control de contactos, entre otras.</w:t>
      </w:r>
    </w:p>
    <w:p w14:paraId="08D9F886" w14:textId="77777777" w:rsidR="005900EC" w:rsidRDefault="00550FE3">
      <w:pPr>
        <w:spacing w:after="129"/>
        <w:ind w:left="360"/>
      </w:pPr>
      <w:r>
        <w:rPr>
          <w:color w:val="0000FF"/>
        </w:rPr>
        <w:t xml:space="preserve"> </w:t>
      </w:r>
    </w:p>
    <w:p w14:paraId="2D1FF177" w14:textId="77777777" w:rsidR="005900EC" w:rsidRDefault="00550FE3">
      <w:pPr>
        <w:spacing w:after="121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Bibliografía:</w:t>
      </w:r>
      <w:r>
        <w:rPr>
          <w:rFonts w:ascii="Arial" w:eastAsia="Arial" w:hAnsi="Arial" w:cs="Arial"/>
          <w:sz w:val="24"/>
        </w:rPr>
        <w:t xml:space="preserve">  </w:t>
      </w:r>
    </w:p>
    <w:p w14:paraId="3D7F3254" w14:textId="77777777" w:rsidR="005900EC" w:rsidRDefault="00550FE3">
      <w:pPr>
        <w:spacing w:after="98" w:line="267" w:lineRule="auto"/>
        <w:ind w:left="-5" w:hanging="10"/>
      </w:pPr>
      <w:r>
        <w:rPr>
          <w:color w:val="0000FF"/>
        </w:rPr>
        <w:t xml:space="preserve"> </w:t>
      </w:r>
      <w:r>
        <w:rPr>
          <w:rFonts w:ascii="Arial" w:eastAsia="Arial" w:hAnsi="Arial" w:cs="Arial"/>
          <w:sz w:val="24"/>
        </w:rPr>
        <w:t>Puedes investigar en estos links:</w:t>
      </w:r>
      <w:r>
        <w:rPr>
          <w:color w:val="0000FF"/>
        </w:rPr>
        <w:t xml:space="preserve">    </w:t>
      </w:r>
      <w:r>
        <w:t xml:space="preserve"> </w:t>
      </w:r>
    </w:p>
    <w:p w14:paraId="53BAA106" w14:textId="77777777" w:rsidR="005900EC" w:rsidRDefault="00550FE3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https://www.altillo.com/examenes/uba/economicas/ciclogeneral/administraciongral/adminisgral_resesc_bona_202 0.asp</w:t>
      </w:r>
      <w:r>
        <w:rPr>
          <w:color w:val="0000FF"/>
        </w:rPr>
        <w:t xml:space="preserve"> </w:t>
      </w:r>
    </w:p>
    <w:p w14:paraId="39C03B39" w14:textId="77777777" w:rsidR="005900EC" w:rsidRDefault="00550FE3">
      <w:pPr>
        <w:spacing w:after="0"/>
      </w:pPr>
      <w:r>
        <w:rPr>
          <w:color w:val="0000FF"/>
        </w:rPr>
        <w:t xml:space="preserve"> </w:t>
      </w:r>
    </w:p>
    <w:p w14:paraId="1EACBD98" w14:textId="77777777" w:rsidR="005900EC" w:rsidRDefault="00550FE3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https://www.orientanet.es/que-diferencias-y-semejanzas-pueden-senalar-entre-el-fordismo-y-eltaylorismo/#:~:text=El%20taylorismo%20y%20el%20fordismo,producci%C3%B3n%20a%20un%20precio%20bajo.</w:t>
      </w:r>
      <w:r>
        <w:rPr>
          <w:color w:val="0000FF"/>
        </w:rPr>
        <w:t xml:space="preserve"> </w:t>
      </w:r>
    </w:p>
    <w:p w14:paraId="63F2396C" w14:textId="77777777" w:rsidR="005900EC" w:rsidRDefault="00550FE3">
      <w:pPr>
        <w:spacing w:after="0"/>
      </w:pPr>
      <w:r>
        <w:rPr>
          <w:color w:val="0000FF"/>
        </w:rPr>
        <w:t xml:space="preserve"> </w:t>
      </w:r>
    </w:p>
    <w:p w14:paraId="5E91CFD4" w14:textId="77777777" w:rsidR="005900EC" w:rsidRDefault="00550FE3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5CB9194" wp14:editId="4D9CD57F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1ADEF1ED" w14:textId="77777777" w:rsidR="005900EC" w:rsidRDefault="00550FE3">
      <w:pPr>
        <w:spacing w:after="0"/>
      </w:pPr>
      <w:r>
        <w:t xml:space="preserve"> </w:t>
      </w:r>
    </w:p>
    <w:p w14:paraId="75F3D8E0" w14:textId="77777777" w:rsidR="005900EC" w:rsidRDefault="00550FE3">
      <w:pPr>
        <w:spacing w:after="0"/>
      </w:pPr>
      <w:r>
        <w:t xml:space="preserve"> </w:t>
      </w:r>
    </w:p>
    <w:p w14:paraId="26D40A07" w14:textId="77777777" w:rsidR="005900EC" w:rsidRDefault="00550FE3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https://economipedia.com/definiciones/fordismo.html</w:t>
      </w:r>
      <w:r>
        <w:rPr>
          <w:color w:val="0000FF"/>
        </w:rPr>
        <w:t xml:space="preserve"> </w:t>
      </w:r>
    </w:p>
    <w:p w14:paraId="2F9183BD" w14:textId="77777777" w:rsidR="005900EC" w:rsidRDefault="000F2494">
      <w:pPr>
        <w:spacing w:after="5" w:line="249" w:lineRule="auto"/>
        <w:ind w:left="-5" w:hanging="10"/>
      </w:pPr>
      <w:hyperlink r:id="rId14">
        <w:r w:rsidR="00550FE3">
          <w:rPr>
            <w:color w:val="0000FF"/>
          </w:rPr>
          <w:t xml:space="preserve"> </w:t>
        </w:r>
      </w:hyperlink>
      <w:hyperlink r:id="rId15">
        <w:r w:rsidR="00550FE3">
          <w:rPr>
            <w:color w:val="0000FF"/>
            <w:u w:val="single" w:color="0000FF"/>
          </w:rPr>
          <w:t>https://drive.google.com/file/d/1Q31pC4QpP_TkU1XMk3</w:t>
        </w:r>
      </w:hyperlink>
      <w:hyperlink r:id="rId16">
        <w:r w:rsidR="00550FE3">
          <w:rPr>
            <w:color w:val="0000FF"/>
            <w:u w:val="single" w:color="0000FF"/>
          </w:rPr>
          <w:t>-</w:t>
        </w:r>
      </w:hyperlink>
      <w:hyperlink r:id="rId17">
        <w:r w:rsidR="00550FE3">
          <w:rPr>
            <w:color w:val="0000FF"/>
            <w:u w:val="single" w:color="0000FF"/>
          </w:rPr>
          <w:t>YALo4EPik7J9T/view</w:t>
        </w:r>
      </w:hyperlink>
      <w:hyperlink r:id="rId18">
        <w:r w:rsidR="00550FE3">
          <w:rPr>
            <w:color w:val="0000FF"/>
          </w:rPr>
          <w:t xml:space="preserve"> </w:t>
        </w:r>
      </w:hyperlink>
    </w:p>
    <w:p w14:paraId="7C77B14A" w14:textId="77777777" w:rsidR="005900EC" w:rsidRDefault="00550FE3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16D9569A" w14:textId="77777777" w:rsidR="005900EC" w:rsidRDefault="00550FE3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2ADC0905" w14:textId="77777777" w:rsidR="005900EC" w:rsidRDefault="00550FE3">
      <w:pPr>
        <w:spacing w:after="198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la guía el alumno deberá conocer el pensamiento de las escuelas de la administración. </w:t>
      </w:r>
    </w:p>
    <w:p w14:paraId="5652CBB3" w14:textId="77777777" w:rsidR="005900EC" w:rsidRDefault="00550FE3">
      <w:pPr>
        <w:spacing w:after="0"/>
        <w:ind w:left="773"/>
        <w:jc w:val="center"/>
      </w:pPr>
      <w:r>
        <w:rPr>
          <w:noProof/>
        </w:rPr>
        <w:drawing>
          <wp:inline distT="0" distB="0" distL="0" distR="0" wp14:anchorId="14B75736" wp14:editId="58995F93">
            <wp:extent cx="2230120" cy="2230120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sectPr w:rsidR="005900EC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32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243C75"/>
    <w:multiLevelType w:val="hybridMultilevel"/>
    <w:tmpl w:val="FFFFFFFF"/>
    <w:lvl w:ilvl="0" w:tplc="361ACF78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DC4057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A884C8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747B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B048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7A2568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4D89F0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99E40C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9CC9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88219">
    <w:abstractNumId w:val="1"/>
  </w:num>
  <w:num w:numId="2" w16cid:durableId="132450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EC"/>
    <w:rsid w:val="000F2494"/>
    <w:rsid w:val="001168A9"/>
    <w:rsid w:val="0016079F"/>
    <w:rsid w:val="00193E3A"/>
    <w:rsid w:val="001D00E9"/>
    <w:rsid w:val="00247EAB"/>
    <w:rsid w:val="002B7EBF"/>
    <w:rsid w:val="002D0CDF"/>
    <w:rsid w:val="002D76D3"/>
    <w:rsid w:val="002F0F6B"/>
    <w:rsid w:val="00364A00"/>
    <w:rsid w:val="00365B6E"/>
    <w:rsid w:val="003D3763"/>
    <w:rsid w:val="004B372E"/>
    <w:rsid w:val="004D5C5B"/>
    <w:rsid w:val="00550FE3"/>
    <w:rsid w:val="00571927"/>
    <w:rsid w:val="005900EC"/>
    <w:rsid w:val="005954F9"/>
    <w:rsid w:val="005B4619"/>
    <w:rsid w:val="005E1CDA"/>
    <w:rsid w:val="005F3CB2"/>
    <w:rsid w:val="00634E19"/>
    <w:rsid w:val="0067476D"/>
    <w:rsid w:val="006A04B8"/>
    <w:rsid w:val="006B4982"/>
    <w:rsid w:val="006E6B8A"/>
    <w:rsid w:val="0070255C"/>
    <w:rsid w:val="0071412A"/>
    <w:rsid w:val="00790344"/>
    <w:rsid w:val="007D44AA"/>
    <w:rsid w:val="007D49C3"/>
    <w:rsid w:val="00824C47"/>
    <w:rsid w:val="008434DD"/>
    <w:rsid w:val="0084513F"/>
    <w:rsid w:val="008D4B82"/>
    <w:rsid w:val="008F0C76"/>
    <w:rsid w:val="00A0230B"/>
    <w:rsid w:val="00A06D90"/>
    <w:rsid w:val="00A45DFB"/>
    <w:rsid w:val="00AB15F1"/>
    <w:rsid w:val="00AB2126"/>
    <w:rsid w:val="00AC717D"/>
    <w:rsid w:val="00B3518D"/>
    <w:rsid w:val="00B7520D"/>
    <w:rsid w:val="00BE7BDD"/>
    <w:rsid w:val="00C722CA"/>
    <w:rsid w:val="00C84A66"/>
    <w:rsid w:val="00C913F5"/>
    <w:rsid w:val="00D61127"/>
    <w:rsid w:val="00D82440"/>
    <w:rsid w:val="00E0484D"/>
    <w:rsid w:val="00E21638"/>
    <w:rsid w:val="00E977BE"/>
    <w:rsid w:val="00EF5B03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7B86E"/>
  <w15:docId w15:val="{5816AA3A-D72D-8C4A-A18B-C0601463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s-AR"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025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lang w:val="es-US" w:eastAsia="es-ES" w:bidi="ar-SA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70255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0255C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025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compras/" TargetMode="External" /><Relationship Id="rId13" Type="http://schemas.openxmlformats.org/officeDocument/2006/relationships/hyperlink" Target="https://concepto.de/proceso-de-produccion/" TargetMode="External" /><Relationship Id="rId18" Type="http://schemas.openxmlformats.org/officeDocument/2006/relationships/hyperlink" Target="https://drive.google.com/file/d/1Q31pC4QpP_TkU1XMk3-YALo4EPik7J9T/view" TargetMode="Externa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https://concepto.de/funciones-de-la-administracion/" TargetMode="External" /><Relationship Id="rId12" Type="http://schemas.openxmlformats.org/officeDocument/2006/relationships/hyperlink" Target="https://concepto.de/estadistica/" TargetMode="External" /><Relationship Id="rId17" Type="http://schemas.openxmlformats.org/officeDocument/2006/relationships/hyperlink" Target="https://drive.google.com/file/d/1Q31pC4QpP_TkU1XMk3-YALo4EPik7J9T/view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drive.google.com/file/d/1Q31pC4QpP_TkU1XMk3-YALo4EPik7J9T/view" TargetMode="Externa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s://concepto.de/proceso-administrativo/" TargetMode="External" /><Relationship Id="rId11" Type="http://schemas.openxmlformats.org/officeDocument/2006/relationships/hyperlink" Target="https://concepto.de/inventario/" TargetMode="External" /><Relationship Id="rId5" Type="http://schemas.openxmlformats.org/officeDocument/2006/relationships/image" Target="media/image1.jpg" /><Relationship Id="rId15" Type="http://schemas.openxmlformats.org/officeDocument/2006/relationships/hyperlink" Target="https://drive.google.com/file/d/1Q31pC4QpP_TkU1XMk3-YALo4EPik7J9T/view" TargetMode="External" /><Relationship Id="rId10" Type="http://schemas.openxmlformats.org/officeDocument/2006/relationships/hyperlink" Target="https://concepto.de/recursos-financieros/" TargetMode="External" /><Relationship Id="rId19" Type="http://schemas.openxmlformats.org/officeDocument/2006/relationships/image" Target="media/image2.jpg" /><Relationship Id="rId4" Type="http://schemas.openxmlformats.org/officeDocument/2006/relationships/webSettings" Target="webSettings.xml" /><Relationship Id="rId9" Type="http://schemas.openxmlformats.org/officeDocument/2006/relationships/hyperlink" Target="https://concepto.de/producto/" TargetMode="External" /><Relationship Id="rId14" Type="http://schemas.openxmlformats.org/officeDocument/2006/relationships/hyperlink" Target="https://drive.google.com/file/d/1Q31pC4QpP_TkU1XMk3-YALo4EPik7J9T/view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josedelmar.sj@gmail.com</cp:lastModifiedBy>
  <cp:revision>2</cp:revision>
  <dcterms:created xsi:type="dcterms:W3CDTF">2024-06-14T13:24:00Z</dcterms:created>
  <dcterms:modified xsi:type="dcterms:W3CDTF">2024-06-14T13:24:00Z</dcterms:modified>
</cp:coreProperties>
</file>