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D3C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  <w:proofErr w:type="spellStart"/>
      <w:proofErr w:type="gramStart"/>
      <w:r>
        <w:rPr>
          <w:rFonts w:ascii="Copperplate Gothic Bold" w:hAnsi="Copperplate Gothic Bold"/>
          <w:sz w:val="72"/>
          <w:szCs w:val="72"/>
        </w:rPr>
        <w:t>efemerides</w:t>
      </w:r>
      <w:proofErr w:type="spellEnd"/>
      <w:proofErr w:type="gramEnd"/>
      <w:r>
        <w:rPr>
          <w:rFonts w:ascii="Copperplate Gothic Bold" w:hAnsi="Copperplate Gothic Bold"/>
          <w:sz w:val="72"/>
          <w:szCs w:val="72"/>
        </w:rPr>
        <w:t xml:space="preserve"> de junio</w:t>
      </w:r>
    </w:p>
    <w:p w:rsidR="00993DCA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  <w:r>
        <w:rPr>
          <w:noProof/>
          <w:lang w:eastAsia="es-AR"/>
        </w:rPr>
        <w:drawing>
          <wp:inline distT="0" distB="0" distL="0" distR="0">
            <wp:extent cx="5612130" cy="3876392"/>
            <wp:effectExtent l="0" t="0" r="7620" b="0"/>
            <wp:docPr id="1" name="Imagen 1" descr="https://www.imageneseducativas.com/wp-content/uploads/2016/05/EFEM%C3%89RIDES-MES-de-JUNIO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mageneseducativas.com/wp-content/uploads/2016/05/EFEM%C3%89RIDES-MES-de-JUNIO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CA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72"/>
          <w:szCs w:val="72"/>
        </w:rPr>
        <w:t>Seño María José carrasco</w:t>
      </w:r>
    </w:p>
    <w:p w:rsidR="00993DCA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72"/>
          <w:szCs w:val="72"/>
        </w:rPr>
        <w:t>6°B</w:t>
      </w:r>
    </w:p>
    <w:p w:rsidR="002E6F38" w:rsidRDefault="002E6F38" w:rsidP="00993DCA">
      <w:pPr>
        <w:jc w:val="center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72"/>
          <w:szCs w:val="72"/>
        </w:rPr>
        <w:t xml:space="preserve">Facundo olivares </w:t>
      </w:r>
      <w:bookmarkStart w:id="0" w:name="_GoBack"/>
      <w:bookmarkEnd w:id="0"/>
    </w:p>
    <w:p w:rsidR="00993DCA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</w:p>
    <w:p w:rsidR="00993DCA" w:rsidRDefault="00993DCA" w:rsidP="00993DCA">
      <w:pPr>
        <w:jc w:val="center"/>
        <w:rPr>
          <w:rFonts w:ascii="Copperplate Gothic Bold" w:hAnsi="Copperplate Gothic Bold"/>
          <w:sz w:val="72"/>
          <w:szCs w:val="72"/>
        </w:rPr>
      </w:pPr>
    </w:p>
    <w:p w:rsidR="00993DCA" w:rsidRDefault="00993DCA" w:rsidP="00993DCA">
      <w:pPr>
        <w:jc w:val="center"/>
        <w:rPr>
          <w:rFonts w:ascii="Franklin Gothic Medium Cond" w:hAnsi="Franklin Gothic Medium Cond"/>
          <w:sz w:val="48"/>
          <w:szCs w:val="48"/>
        </w:rPr>
      </w:pPr>
    </w:p>
    <w:p w:rsidR="00993DCA" w:rsidRDefault="00993DCA" w:rsidP="00993DCA">
      <w:pPr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DIA DE LA FUNDACION DE SAN JUAN</w:t>
      </w:r>
    </w:p>
    <w:p w:rsidR="00993DCA" w:rsidRDefault="00993DCA" w:rsidP="00993DCA">
      <w:pPr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color w:val="FF0000"/>
          <w:sz w:val="48"/>
          <w:szCs w:val="48"/>
        </w:rPr>
        <w:t>13 DE JUNIO</w:t>
      </w:r>
    </w:p>
    <w:p w:rsidR="00993DCA" w:rsidRDefault="00993DCA" w:rsidP="00993DCA">
      <w:pPr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https://changomovil.net/wp-content/uploads/2020/06/fundacion-de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3F1A0" id="Rectángulo 2" o:spid="_x0000_s1026" alt="https://changomovil.net/wp-content/uploads/2020/06/fundacion-de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8+U7rzAgAAD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https://changomovil.net/wp-content/uploads/2020/06/fundacion-de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2B528" id="Rectángulo 3" o:spid="_x0000_s1026" alt="https://changomovil.net/wp-content/uploads/2020/06/fundacion-de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PDJhz9AIAAA4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https://changomovil.net/wp-content/uploads/2020/06/fundacion-de-san-ju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7261D" id="Rectángulo 4" o:spid="_x0000_s1026" alt="https://changomovil.net/wp-content/uploads/2020/06/fundacion-de-san-ju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MyYemPzAgAAD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https://infovallefertil.com/download/multimedia.normal.8885f74f7f3f32b3.NTI5NzIyODU0MDVfODdkY2ZlMGVhNl9iX25vcm1hbC53ZWJw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F512F" id="Rectángulo 5" o:spid="_x0000_s1026" alt="https://infovallefertil.com/download/multimedia.normal.8885f74f7f3f32b3.NTI5NzIyODU0MDVfODdkY2ZlMGVhNl9iX25vcm1hbC53ZWJw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CYNmomAwAAP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4438650" cy="2874026"/>
            <wp:effectExtent l="0" t="0" r="0" b="2540"/>
            <wp:docPr id="6" name="Imagen 6" descr="http://www.jachallaopinion.com.ar/jachalla/wp-content/uploads/2022/06/52142363567_691d735f4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achallaopinion.com.ar/jachalla/wp-content/uploads/2022/06/52142363567_691d735f48_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46" cy="28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CA" w:rsidRPr="005106F5" w:rsidRDefault="005106F5" w:rsidP="005106F5">
      <w:pPr>
        <w:rPr>
          <w:rFonts w:ascii="Century" w:hAnsi="Century"/>
          <w:sz w:val="32"/>
          <w:szCs w:val="32"/>
          <w:shd w:val="clear" w:color="auto" w:fill="FFFFFF"/>
        </w:rPr>
      </w:pPr>
      <w:r w:rsidRPr="005106F5">
        <w:rPr>
          <w:rFonts w:ascii="Century" w:hAnsi="Century"/>
          <w:sz w:val="32"/>
          <w:szCs w:val="32"/>
          <w:shd w:val="clear" w:color="auto" w:fill="FFFFFF"/>
        </w:rPr>
        <w:t>1.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   </w:t>
      </w:r>
      <w:r w:rsidR="00993DCA" w:rsidRPr="005106F5">
        <w:rPr>
          <w:rFonts w:ascii="Century" w:hAnsi="Century"/>
          <w:sz w:val="32"/>
          <w:szCs w:val="32"/>
          <w:shd w:val="clear" w:color="auto" w:fill="FFFFFF"/>
        </w:rPr>
        <w:t xml:space="preserve">La fundación de </w:t>
      </w:r>
      <w:r w:rsidR="00993DCA" w:rsidRPr="005106F5">
        <w:rPr>
          <w:rFonts w:ascii="Century" w:hAnsi="Century"/>
          <w:color w:val="92D050"/>
          <w:sz w:val="32"/>
          <w:szCs w:val="32"/>
          <w:shd w:val="clear" w:color="auto" w:fill="FFFFFF"/>
        </w:rPr>
        <w:t xml:space="preserve">San Juan </w:t>
      </w:r>
      <w:r w:rsidR="00993DCA" w:rsidRPr="005106F5">
        <w:rPr>
          <w:rFonts w:ascii="Century" w:hAnsi="Century"/>
          <w:sz w:val="32"/>
          <w:szCs w:val="32"/>
          <w:shd w:val="clear" w:color="auto" w:fill="FFFFFF"/>
        </w:rPr>
        <w:t>fue el </w:t>
      </w:r>
      <w:r w:rsidR="00993DCA" w:rsidRPr="005106F5">
        <w:rPr>
          <w:rFonts w:ascii="Century" w:hAnsi="Century"/>
          <w:color w:val="7030A0"/>
          <w:sz w:val="32"/>
          <w:szCs w:val="32"/>
          <w:shd w:val="clear" w:color="auto" w:fill="FFFFFF"/>
        </w:rPr>
        <w:t>13 de junio de 1562</w:t>
      </w:r>
      <w:r w:rsidR="00993DCA" w:rsidRPr="005106F5">
        <w:rPr>
          <w:rFonts w:ascii="Century" w:hAnsi="Century"/>
          <w:sz w:val="32"/>
          <w:szCs w:val="32"/>
          <w:shd w:val="clear" w:color="auto" w:fill="FFFFFF"/>
        </w:rPr>
        <w:t xml:space="preserve">, cuando </w:t>
      </w:r>
      <w:r w:rsidR="00993DCA" w:rsidRPr="005106F5">
        <w:rPr>
          <w:rFonts w:ascii="Century" w:hAnsi="Century"/>
          <w:color w:val="FF0000"/>
          <w:sz w:val="32"/>
          <w:szCs w:val="32"/>
          <w:shd w:val="clear" w:color="auto" w:fill="FFFFFF"/>
        </w:rPr>
        <w:t xml:space="preserve">Juan </w:t>
      </w:r>
      <w:proofErr w:type="spellStart"/>
      <w:r w:rsidR="00993DCA" w:rsidRPr="005106F5">
        <w:rPr>
          <w:rFonts w:ascii="Century" w:hAnsi="Century"/>
          <w:color w:val="FF0000"/>
          <w:sz w:val="32"/>
          <w:szCs w:val="32"/>
          <w:shd w:val="clear" w:color="auto" w:fill="FFFFFF"/>
        </w:rPr>
        <w:t>Jufré</w:t>
      </w:r>
      <w:proofErr w:type="spellEnd"/>
      <w:r w:rsidR="00993DCA" w:rsidRPr="005106F5">
        <w:rPr>
          <w:rFonts w:ascii="Century" w:hAnsi="Century"/>
          <w:color w:val="FF0000"/>
          <w:sz w:val="32"/>
          <w:szCs w:val="32"/>
          <w:shd w:val="clear" w:color="auto" w:fill="FFFFFF"/>
        </w:rPr>
        <w:t xml:space="preserve"> </w:t>
      </w:r>
      <w:r w:rsidR="00993DCA" w:rsidRPr="005106F5">
        <w:rPr>
          <w:rFonts w:ascii="Century" w:hAnsi="Century"/>
          <w:sz w:val="32"/>
          <w:szCs w:val="32"/>
          <w:shd w:val="clear" w:color="auto" w:fill="FFFFFF"/>
        </w:rPr>
        <w:t xml:space="preserve">fundó la villa </w:t>
      </w:r>
      <w:r w:rsidR="00993DCA" w:rsidRPr="005106F5">
        <w:rPr>
          <w:rFonts w:ascii="Century" w:hAnsi="Century"/>
          <w:color w:val="FFC000"/>
          <w:sz w:val="32"/>
          <w:szCs w:val="32"/>
          <w:shd w:val="clear" w:color="auto" w:fill="FFFFFF"/>
        </w:rPr>
        <w:t>de San Juan de la Frontera</w:t>
      </w:r>
      <w:r w:rsidR="00993DCA" w:rsidRPr="005106F5">
        <w:rPr>
          <w:rFonts w:ascii="Century" w:hAnsi="Century"/>
          <w:sz w:val="32"/>
          <w:szCs w:val="32"/>
          <w:shd w:val="clear" w:color="auto" w:fill="FFFFFF"/>
        </w:rPr>
        <w:t>.</w:t>
      </w:r>
      <w:r w:rsidRPr="005106F5">
        <w:rPr>
          <w:rFonts w:ascii="Century" w:hAnsi="Century"/>
          <w:sz w:val="32"/>
          <w:szCs w:val="32"/>
          <w:shd w:val="clear" w:color="auto" w:fill="FFFFFF"/>
        </w:rPr>
        <w:t xml:space="preserve"> </w:t>
      </w:r>
    </w:p>
    <w:p w:rsidR="005106F5" w:rsidRDefault="005106F5" w:rsidP="00993DCA">
      <w:pPr>
        <w:rPr>
          <w:rFonts w:ascii="Century" w:hAnsi="Century" w:cs="Arial"/>
          <w:color w:val="000000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</w:rPr>
        <w:t>2</w:t>
      </w:r>
      <w:r w:rsidRPr="003F0C06">
        <w:rPr>
          <w:rFonts w:ascii="Century" w:hAnsi="Century"/>
          <w:sz w:val="32"/>
          <w:szCs w:val="32"/>
        </w:rPr>
        <w:t xml:space="preserve">. </w:t>
      </w:r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>Según el primer historiador de San Juan</w:t>
      </w:r>
      <w:r w:rsidR="003F0C06" w:rsidRPr="003F0C06">
        <w:rPr>
          <w:rFonts w:ascii="Century" w:hAnsi="Century" w:cs="Arial"/>
          <w:color w:val="FF0000"/>
          <w:sz w:val="32"/>
          <w:szCs w:val="32"/>
          <w:shd w:val="clear" w:color="auto" w:fill="FFFFFF"/>
        </w:rPr>
        <w:t>, Nicanor Larraín</w:t>
      </w:r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 xml:space="preserve">, la primera </w:t>
      </w:r>
      <w:r w:rsidR="003F0C06" w:rsidRPr="003F0C06">
        <w:rPr>
          <w:rFonts w:ascii="Century" w:hAnsi="Century" w:cs="Arial"/>
          <w:color w:val="385623" w:themeColor="accent6" w:themeShade="80"/>
          <w:sz w:val="32"/>
          <w:szCs w:val="32"/>
          <w:shd w:val="clear" w:color="auto" w:fill="FFFFFF"/>
        </w:rPr>
        <w:t>fundación de San Juan</w:t>
      </w:r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 xml:space="preserve"> la hizo </w:t>
      </w:r>
      <w:r w:rsidR="003F0C06" w:rsidRPr="003F0C06">
        <w:rPr>
          <w:rFonts w:ascii="Century" w:hAnsi="Century" w:cs="Arial"/>
          <w:color w:val="00B0F0"/>
          <w:sz w:val="32"/>
          <w:szCs w:val="32"/>
          <w:shd w:val="clear" w:color="auto" w:fill="FFFFFF"/>
        </w:rPr>
        <w:t>Martín Ruiz de Gamboa en 1561</w:t>
      </w:r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 xml:space="preserve">, es decir </w:t>
      </w:r>
      <w:r w:rsidR="003F0C06" w:rsidRPr="003F0C06">
        <w:rPr>
          <w:rFonts w:ascii="Century" w:hAnsi="Century" w:cs="Arial"/>
          <w:color w:val="7030A0"/>
          <w:sz w:val="32"/>
          <w:szCs w:val="32"/>
          <w:shd w:val="clear" w:color="auto" w:fill="FFFFFF"/>
        </w:rPr>
        <w:t xml:space="preserve">un año antes de la que realizó </w:t>
      </w:r>
      <w:proofErr w:type="spellStart"/>
      <w:r w:rsidR="003F0C06" w:rsidRPr="003F0C06">
        <w:rPr>
          <w:rFonts w:ascii="Century" w:hAnsi="Century" w:cs="Arial"/>
          <w:color w:val="7030A0"/>
          <w:sz w:val="32"/>
          <w:szCs w:val="32"/>
          <w:shd w:val="clear" w:color="auto" w:fill="FFFFFF"/>
        </w:rPr>
        <w:t>Jufré</w:t>
      </w:r>
      <w:proofErr w:type="spellEnd"/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 xml:space="preserve">. Esta tesis fue descartada por historiadores posteriores, incluido </w:t>
      </w:r>
      <w:r w:rsidR="003F0C06" w:rsidRPr="003F0C06">
        <w:rPr>
          <w:rFonts w:ascii="Century" w:hAnsi="Century" w:cs="Arial"/>
          <w:color w:val="222A35" w:themeColor="text2" w:themeShade="80"/>
          <w:sz w:val="32"/>
          <w:szCs w:val="32"/>
          <w:shd w:val="clear" w:color="auto" w:fill="FFFFFF"/>
        </w:rPr>
        <w:t>Horacio Videla</w:t>
      </w:r>
      <w:r w:rsidR="003F0C06" w:rsidRP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>, ya que, como reconoce el mismo Larraín</w:t>
      </w:r>
      <w:r w:rsidR="003F0C06" w:rsidRPr="003F0C06">
        <w:rPr>
          <w:rFonts w:ascii="Century" w:hAnsi="Century" w:cs="Arial"/>
          <w:color w:val="70AD47" w:themeColor="accent6"/>
          <w:sz w:val="32"/>
          <w:szCs w:val="32"/>
          <w:shd w:val="clear" w:color="auto" w:fill="FFFFFF"/>
        </w:rPr>
        <w:t>, no se encontró el acta de fundación de Ruiz de Gamboa</w:t>
      </w:r>
      <w:r w:rsidR="003F0C06">
        <w:rPr>
          <w:rFonts w:ascii="Century" w:hAnsi="Century" w:cs="Arial"/>
          <w:color w:val="000000"/>
          <w:sz w:val="32"/>
          <w:szCs w:val="32"/>
          <w:shd w:val="clear" w:color="auto" w:fill="FFFFFF"/>
        </w:rPr>
        <w:t>.</w:t>
      </w:r>
    </w:p>
    <w:p w:rsidR="003F0C06" w:rsidRDefault="003F0C06" w:rsidP="00993DCA">
      <w:pPr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 w:cs="Arial"/>
          <w:color w:val="000000"/>
          <w:sz w:val="32"/>
          <w:szCs w:val="32"/>
          <w:shd w:val="clear" w:color="auto" w:fill="FFFFFF"/>
        </w:rPr>
        <w:lastRenderedPageBreak/>
        <w:t>3</w:t>
      </w:r>
      <w:r w:rsidRPr="003F0C06">
        <w:rPr>
          <w:rFonts w:ascii="Century" w:hAnsi="Century" w:cs="Arial"/>
          <w:sz w:val="32"/>
          <w:szCs w:val="32"/>
          <w:shd w:val="clear" w:color="auto" w:fill="FFFFFF"/>
        </w:rPr>
        <w:t xml:space="preserve">. </w:t>
      </w:r>
      <w:r>
        <w:rPr>
          <w:rFonts w:ascii="Century" w:hAnsi="Century" w:cs="Arial"/>
          <w:sz w:val="32"/>
          <w:szCs w:val="32"/>
          <w:shd w:val="clear" w:color="auto" w:fill="FFFFFF"/>
        </w:rPr>
        <w:t>Paso que</w:t>
      </w:r>
      <w:r w:rsidRPr="003F0C06">
        <w:rPr>
          <w:rFonts w:ascii="Helvetica" w:hAnsi="Helvetica"/>
          <w:sz w:val="21"/>
          <w:szCs w:val="21"/>
          <w:shd w:val="clear" w:color="auto" w:fill="FFFFFF"/>
        </w:rPr>
        <w:t> </w:t>
      </w:r>
      <w:r w:rsidRPr="003F0C06">
        <w:rPr>
          <w:rFonts w:ascii="Helvetica" w:hAnsi="Helvetica"/>
          <w:color w:val="806000" w:themeColor="accent4" w:themeShade="80"/>
          <w:sz w:val="21"/>
          <w:szCs w:val="21"/>
          <w:shd w:val="clear" w:color="auto" w:fill="FFFFFF"/>
        </w:rPr>
        <w:t>l</w:t>
      </w:r>
      <w:r w:rsidRPr="003F0C06">
        <w:rPr>
          <w:rFonts w:ascii="Century" w:hAnsi="Century"/>
          <w:color w:val="806000" w:themeColor="accent4" w:themeShade="80"/>
          <w:sz w:val="32"/>
          <w:szCs w:val="32"/>
          <w:shd w:val="clear" w:color="auto" w:fill="FFFFFF"/>
        </w:rPr>
        <w:t>a población de San Juan </w:t>
      </w:r>
      <w:r w:rsidRPr="003F0C06">
        <w:rPr>
          <w:rFonts w:ascii="Century" w:hAnsi="Century"/>
          <w:sz w:val="32"/>
          <w:szCs w:val="32"/>
          <w:shd w:val="clear" w:color="auto" w:fill="FFFFFF"/>
        </w:rPr>
        <w:t xml:space="preserve">nuevamente se vio </w:t>
      </w:r>
      <w:r w:rsidRPr="003F0C06">
        <w:rPr>
          <w:rFonts w:ascii="Century" w:hAnsi="Century"/>
          <w:color w:val="00B050"/>
          <w:sz w:val="32"/>
          <w:szCs w:val="32"/>
          <w:shd w:val="clear" w:color="auto" w:fill="FFFFFF"/>
        </w:rPr>
        <w:t>amenazada por los aborígenes</w:t>
      </w:r>
      <w:r w:rsidRPr="003F0C06">
        <w:rPr>
          <w:rFonts w:ascii="Century" w:hAnsi="Century"/>
          <w:sz w:val="32"/>
          <w:szCs w:val="32"/>
          <w:shd w:val="clear" w:color="auto" w:fill="FFFFFF"/>
        </w:rPr>
        <w:t xml:space="preserve">. En 1658, se produjo la sublevación general de los indios de Tucumán, liderados por </w:t>
      </w:r>
      <w:r w:rsidRPr="004E5A3D">
        <w:rPr>
          <w:rFonts w:ascii="Century" w:hAnsi="Century"/>
          <w:color w:val="5B9BD5" w:themeColor="accent1"/>
          <w:sz w:val="32"/>
          <w:szCs w:val="32"/>
          <w:shd w:val="clear" w:color="auto" w:fill="FFFFFF"/>
        </w:rPr>
        <w:t xml:space="preserve">Pedro de </w:t>
      </w:r>
      <w:proofErr w:type="spellStart"/>
      <w:r w:rsidRPr="004E5A3D">
        <w:rPr>
          <w:rFonts w:ascii="Century" w:hAnsi="Century"/>
          <w:color w:val="5B9BD5" w:themeColor="accent1"/>
          <w:sz w:val="32"/>
          <w:szCs w:val="32"/>
          <w:shd w:val="clear" w:color="auto" w:fill="FFFFFF"/>
        </w:rPr>
        <w:t>Bohorquez</w:t>
      </w:r>
      <w:proofErr w:type="spellEnd"/>
      <w:r w:rsidR="004E5A3D"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4E5A3D" w:rsidRPr="004E5A3D" w:rsidRDefault="004E5A3D" w:rsidP="004E5A3D">
      <w:pPr>
        <w:pStyle w:val="NormalWeb"/>
        <w:shd w:val="clear" w:color="auto" w:fill="FFFFFF"/>
        <w:spacing w:before="0" w:beforeAutospacing="0"/>
        <w:rPr>
          <w:rFonts w:ascii="Century" w:hAnsi="Century" w:cs="Segoe UI"/>
          <w:sz w:val="32"/>
          <w:szCs w:val="32"/>
        </w:rPr>
      </w:pPr>
      <w:r>
        <w:rPr>
          <w:rFonts w:ascii="Century" w:hAnsi="Century"/>
          <w:sz w:val="32"/>
          <w:szCs w:val="32"/>
          <w:shd w:val="clear" w:color="auto" w:fill="FFFFFF"/>
        </w:rPr>
        <w:t xml:space="preserve">4. </w:t>
      </w:r>
      <w:r w:rsidRPr="004E5A3D">
        <w:rPr>
          <w:rFonts w:ascii="Century" w:hAnsi="Century" w:cs="Segoe UI"/>
          <w:sz w:val="32"/>
          <w:szCs w:val="32"/>
        </w:rPr>
        <w:t xml:space="preserve">La </w:t>
      </w:r>
      <w:r>
        <w:rPr>
          <w:rFonts w:ascii="Century" w:hAnsi="Century" w:cs="Segoe UI"/>
          <w:sz w:val="32"/>
          <w:szCs w:val="32"/>
        </w:rPr>
        <w:t>cultura</w:t>
      </w:r>
      <w:r w:rsidRPr="004E5A3D">
        <w:rPr>
          <w:rFonts w:ascii="Century" w:hAnsi="Century" w:cs="Segoe UI"/>
          <w:sz w:val="32"/>
          <w:szCs w:val="32"/>
        </w:rPr>
        <w:t xml:space="preserve"> de </w:t>
      </w:r>
      <w:r w:rsidRPr="004E5A3D">
        <w:rPr>
          <w:rStyle w:val="Textoennegrita"/>
          <w:rFonts w:ascii="Century" w:hAnsi="Century" w:cs="Segoe UI"/>
          <w:color w:val="833C0B" w:themeColor="accent2" w:themeShade="80"/>
          <w:sz w:val="32"/>
          <w:szCs w:val="32"/>
        </w:rPr>
        <w:t>San Juan, Argentina</w:t>
      </w:r>
      <w:r w:rsidRPr="004E5A3D">
        <w:rPr>
          <w:rFonts w:ascii="Century" w:hAnsi="Century" w:cs="Segoe UI"/>
          <w:sz w:val="32"/>
          <w:szCs w:val="32"/>
        </w:rPr>
        <w:t xml:space="preserve">, se remonta a miles de años atrás, cuando la región estaba habitada por diferentes </w:t>
      </w:r>
      <w:r w:rsidRPr="004E5A3D">
        <w:rPr>
          <w:rFonts w:ascii="Century" w:hAnsi="Century" w:cs="Segoe UI"/>
          <w:color w:val="7030A0"/>
          <w:sz w:val="32"/>
          <w:szCs w:val="32"/>
        </w:rPr>
        <w:t>grupos indígenas</w:t>
      </w:r>
      <w:r w:rsidRPr="004E5A3D">
        <w:rPr>
          <w:rFonts w:ascii="Century" w:hAnsi="Century" w:cs="Segoe UI"/>
          <w:sz w:val="32"/>
          <w:szCs w:val="32"/>
        </w:rPr>
        <w:t>. Los primeros habitantes de la zona fueron los </w:t>
      </w:r>
      <w:proofErr w:type="spellStart"/>
      <w:r w:rsidRPr="004E5A3D">
        <w:rPr>
          <w:rStyle w:val="Textoennegrita"/>
          <w:rFonts w:ascii="Century" w:hAnsi="Century" w:cs="Segoe UI"/>
          <w:color w:val="7030A0"/>
          <w:sz w:val="32"/>
          <w:szCs w:val="32"/>
        </w:rPr>
        <w:t>huarpes</w:t>
      </w:r>
      <w:proofErr w:type="spellEnd"/>
      <w:r w:rsidRPr="004E5A3D">
        <w:rPr>
          <w:rFonts w:ascii="Century" w:hAnsi="Century" w:cs="Segoe UI"/>
          <w:sz w:val="32"/>
          <w:szCs w:val="32"/>
        </w:rPr>
        <w:t xml:space="preserve">, una comunidad indígena que se estableció en el </w:t>
      </w:r>
      <w:r w:rsidRPr="004E5A3D">
        <w:rPr>
          <w:rFonts w:ascii="Century" w:hAnsi="Century" w:cs="Segoe UI"/>
          <w:color w:val="44546A" w:themeColor="text2"/>
          <w:sz w:val="32"/>
          <w:szCs w:val="32"/>
        </w:rPr>
        <w:t xml:space="preserve">valle del río San Juan </w:t>
      </w:r>
      <w:r w:rsidRPr="004E5A3D">
        <w:rPr>
          <w:rFonts w:ascii="Century" w:hAnsi="Century" w:cs="Segoe UI"/>
          <w:sz w:val="32"/>
          <w:szCs w:val="32"/>
        </w:rPr>
        <w:t>alrededor del año 2000 a.C.</w:t>
      </w:r>
    </w:p>
    <w:p w:rsidR="004E5A3D" w:rsidRPr="004E5A3D" w:rsidRDefault="004E5A3D" w:rsidP="004E5A3D">
      <w:pPr>
        <w:pStyle w:val="NormalWeb"/>
        <w:shd w:val="clear" w:color="auto" w:fill="FFFFFF"/>
        <w:spacing w:before="0" w:beforeAutospacing="0"/>
        <w:rPr>
          <w:rFonts w:ascii="Century" w:hAnsi="Century" w:cs="Segoe UI"/>
          <w:sz w:val="32"/>
          <w:szCs w:val="32"/>
        </w:rPr>
      </w:pPr>
      <w:r w:rsidRPr="004E5A3D">
        <w:rPr>
          <w:rFonts w:ascii="Century" w:hAnsi="Century" w:cs="Segoe UI"/>
          <w:sz w:val="32"/>
          <w:szCs w:val="32"/>
        </w:rPr>
        <w:t>Los </w:t>
      </w:r>
      <w:proofErr w:type="spellStart"/>
      <w:r w:rsidRPr="004E5A3D">
        <w:rPr>
          <w:rStyle w:val="Textoennegrita"/>
          <w:rFonts w:ascii="Century" w:hAnsi="Century" w:cs="Segoe UI"/>
          <w:color w:val="ED7D31" w:themeColor="accent2"/>
          <w:sz w:val="32"/>
          <w:szCs w:val="32"/>
        </w:rPr>
        <w:t>huarpes</w:t>
      </w:r>
      <w:proofErr w:type="spellEnd"/>
      <w:r w:rsidRPr="004E5A3D">
        <w:rPr>
          <w:rFonts w:ascii="Century" w:hAnsi="Century" w:cs="Segoe UI"/>
          <w:sz w:val="32"/>
          <w:szCs w:val="32"/>
        </w:rPr>
        <w:t> eran agricultores y se dedicaban principalmente al cultivo de </w:t>
      </w:r>
      <w:r w:rsidRPr="004E5A3D">
        <w:rPr>
          <w:rStyle w:val="nfasis"/>
          <w:rFonts w:ascii="Century" w:hAnsi="Century" w:cs="Segoe UI"/>
          <w:i w:val="0"/>
          <w:color w:val="833C0B" w:themeColor="accent2" w:themeShade="80"/>
          <w:sz w:val="32"/>
          <w:szCs w:val="32"/>
        </w:rPr>
        <w:t>maíz, porotos y zapallo</w:t>
      </w:r>
      <w:r w:rsidRPr="004E5A3D">
        <w:rPr>
          <w:rFonts w:ascii="Century" w:hAnsi="Century" w:cs="Segoe UI"/>
          <w:sz w:val="32"/>
          <w:szCs w:val="32"/>
        </w:rPr>
        <w:t xml:space="preserve">. También eran </w:t>
      </w:r>
      <w:r w:rsidRPr="004E5A3D">
        <w:rPr>
          <w:rFonts w:ascii="Century" w:hAnsi="Century" w:cs="Segoe UI"/>
          <w:color w:val="C00000"/>
          <w:sz w:val="32"/>
          <w:szCs w:val="32"/>
        </w:rPr>
        <w:t>excelentes </w:t>
      </w:r>
      <w:r w:rsidRPr="004E5A3D">
        <w:rPr>
          <w:rStyle w:val="nfasis"/>
          <w:rFonts w:ascii="Century" w:hAnsi="Century" w:cs="Segoe UI"/>
          <w:color w:val="C00000"/>
          <w:sz w:val="32"/>
          <w:szCs w:val="32"/>
        </w:rPr>
        <w:t>alfareros y tejedores</w:t>
      </w:r>
      <w:r w:rsidRPr="004E5A3D">
        <w:rPr>
          <w:rFonts w:ascii="Century" w:hAnsi="Century" w:cs="Segoe UI"/>
          <w:color w:val="C00000"/>
          <w:sz w:val="32"/>
          <w:szCs w:val="32"/>
        </w:rPr>
        <w:t>, y desarrollaron una cultura rica y próspera en la región</w:t>
      </w:r>
      <w:r w:rsidRPr="004E5A3D">
        <w:rPr>
          <w:rFonts w:ascii="Century" w:hAnsi="Century" w:cs="Segoe UI"/>
          <w:sz w:val="32"/>
          <w:szCs w:val="32"/>
        </w:rPr>
        <w:t>.</w:t>
      </w:r>
    </w:p>
    <w:p w:rsidR="004E5A3D" w:rsidRDefault="004E5A3D" w:rsidP="004E5A3D">
      <w:pPr>
        <w:pStyle w:val="NormalWeb"/>
        <w:shd w:val="clear" w:color="auto" w:fill="FFFFFF"/>
        <w:spacing w:before="0" w:beforeAutospacing="0"/>
        <w:rPr>
          <w:rFonts w:ascii="Century" w:hAnsi="Century" w:cs="Segoe UI"/>
          <w:sz w:val="32"/>
          <w:szCs w:val="32"/>
        </w:rPr>
      </w:pPr>
      <w:r w:rsidRPr="004E5A3D">
        <w:rPr>
          <w:rFonts w:ascii="Century" w:hAnsi="Century" w:cs="Segoe UI"/>
          <w:sz w:val="32"/>
          <w:szCs w:val="32"/>
        </w:rPr>
        <w:t>Con la llegada de los </w:t>
      </w:r>
      <w:r w:rsidRPr="004E5A3D">
        <w:rPr>
          <w:rStyle w:val="Textoennegrita"/>
          <w:rFonts w:ascii="Century" w:hAnsi="Century" w:cs="Segoe UI"/>
          <w:color w:val="FFFF00"/>
          <w:sz w:val="32"/>
          <w:szCs w:val="32"/>
        </w:rPr>
        <w:t>españoles</w:t>
      </w:r>
      <w:r w:rsidRPr="004E5A3D">
        <w:rPr>
          <w:rFonts w:ascii="Century" w:hAnsi="Century" w:cs="Segoe UI"/>
          <w:color w:val="FFFF00"/>
          <w:sz w:val="32"/>
          <w:szCs w:val="32"/>
        </w:rPr>
        <w:t> en el siglo XVI, la región de </w:t>
      </w:r>
      <w:r w:rsidRPr="004E5A3D">
        <w:rPr>
          <w:rStyle w:val="Textoennegrita"/>
          <w:rFonts w:ascii="Century" w:hAnsi="Century" w:cs="Segoe UI"/>
          <w:color w:val="FFFF00"/>
          <w:sz w:val="32"/>
          <w:szCs w:val="32"/>
        </w:rPr>
        <w:t>San Juan</w:t>
      </w:r>
      <w:r w:rsidRPr="004E5A3D">
        <w:rPr>
          <w:rFonts w:ascii="Century" w:hAnsi="Century" w:cs="Segoe UI"/>
          <w:color w:val="FFFF00"/>
          <w:sz w:val="32"/>
          <w:szCs w:val="32"/>
        </w:rPr>
        <w:t> se convirtió en parte del </w:t>
      </w:r>
      <w:r w:rsidRPr="004E5A3D">
        <w:rPr>
          <w:rStyle w:val="Textoennegrita"/>
          <w:rFonts w:ascii="Century" w:hAnsi="Century" w:cs="Segoe UI"/>
          <w:color w:val="FFFF00"/>
          <w:sz w:val="32"/>
          <w:szCs w:val="32"/>
        </w:rPr>
        <w:t>Virreinato del Río de la Plata</w:t>
      </w:r>
      <w:r w:rsidRPr="004E5A3D">
        <w:rPr>
          <w:rFonts w:ascii="Century" w:hAnsi="Century" w:cs="Segoe UI"/>
          <w:color w:val="FFFF00"/>
          <w:sz w:val="32"/>
          <w:szCs w:val="32"/>
        </w:rPr>
        <w:t>.</w:t>
      </w:r>
      <w:r w:rsidRPr="004E5A3D">
        <w:rPr>
          <w:rFonts w:ascii="Century" w:hAnsi="Century" w:cs="Segoe UI"/>
          <w:sz w:val="32"/>
          <w:szCs w:val="32"/>
        </w:rPr>
        <w:t xml:space="preserve"> Los colonizadores españoles establecieron la ciudad de </w:t>
      </w:r>
      <w:r w:rsidRPr="004E5A3D">
        <w:rPr>
          <w:rStyle w:val="Textoennegrita"/>
          <w:rFonts w:ascii="Century" w:hAnsi="Century" w:cs="Segoe UI"/>
          <w:color w:val="808080" w:themeColor="background1" w:themeShade="80"/>
          <w:sz w:val="32"/>
          <w:szCs w:val="32"/>
        </w:rPr>
        <w:t>San Juan de la Frontera</w:t>
      </w:r>
      <w:r w:rsidRPr="004E5A3D">
        <w:rPr>
          <w:rFonts w:ascii="Century" w:hAnsi="Century" w:cs="Segoe UI"/>
          <w:color w:val="808080" w:themeColor="background1" w:themeShade="80"/>
          <w:sz w:val="32"/>
          <w:szCs w:val="32"/>
        </w:rPr>
        <w:t> en 1562</w:t>
      </w:r>
      <w:r w:rsidRPr="004E5A3D">
        <w:rPr>
          <w:rFonts w:ascii="Century" w:hAnsi="Century" w:cs="Segoe UI"/>
          <w:sz w:val="32"/>
          <w:szCs w:val="32"/>
        </w:rPr>
        <w:t xml:space="preserve">, convirtiéndola en una importante parada en la ruta hacia el </w:t>
      </w:r>
      <w:r w:rsidRPr="004E5A3D">
        <w:rPr>
          <w:rFonts w:ascii="Century" w:hAnsi="Century" w:cs="Segoe UI"/>
          <w:color w:val="C45911" w:themeColor="accent2" w:themeShade="BF"/>
          <w:sz w:val="32"/>
          <w:szCs w:val="32"/>
        </w:rPr>
        <w:t>Alto Perú</w:t>
      </w:r>
      <w:r>
        <w:rPr>
          <w:rFonts w:ascii="Century" w:hAnsi="Century" w:cs="Segoe UI"/>
          <w:sz w:val="32"/>
          <w:szCs w:val="32"/>
        </w:rPr>
        <w:t>.</w:t>
      </w:r>
    </w:p>
    <w:p w:rsidR="004E5A3D" w:rsidRDefault="004E5A3D" w:rsidP="004E5A3D">
      <w:pPr>
        <w:pStyle w:val="NormalWeb"/>
        <w:shd w:val="clear" w:color="auto" w:fill="FFFFFF"/>
        <w:spacing w:before="0" w:beforeAutospacing="0"/>
        <w:rPr>
          <w:rFonts w:ascii="Century" w:hAnsi="Century" w:cs="Segoe U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12130" cy="3760127"/>
            <wp:effectExtent l="0" t="0" r="7620" b="0"/>
            <wp:docPr id="7" name="Imagen 7" descr="http://atlas.inpi.gob.mx/wp-content/uploads/tlahuica-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las.inpi.gob.mx/wp-content/uploads/tlahuica-069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3D" w:rsidRDefault="004E5A3D" w:rsidP="004E5A3D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 w:cs="Segoe UI"/>
          <w:sz w:val="48"/>
          <w:szCs w:val="48"/>
        </w:rPr>
      </w:pPr>
      <w:r>
        <w:rPr>
          <w:rFonts w:ascii="Franklin Gothic Medium Cond" w:hAnsi="Franklin Gothic Medium Cond" w:cs="Segoe UI"/>
          <w:sz w:val="48"/>
          <w:szCs w:val="48"/>
        </w:rPr>
        <w:t>DIA DE LOS DERECHOS ARGENTINOS SOBRE LAS ISLAS MALVINAS E ISLAS DEL ATLANTICO SUR</w:t>
      </w:r>
    </w:p>
    <w:p w:rsidR="004E5A3D" w:rsidRDefault="004E5A3D" w:rsidP="004E5A3D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 w:cs="Segoe UI"/>
          <w:color w:val="FF0000"/>
          <w:sz w:val="48"/>
          <w:szCs w:val="48"/>
        </w:rPr>
      </w:pPr>
      <w:r>
        <w:rPr>
          <w:rFonts w:ascii="Franklin Gothic Medium Cond" w:hAnsi="Franklin Gothic Medium Cond" w:cs="Segoe UI"/>
          <w:color w:val="FF0000"/>
          <w:sz w:val="48"/>
          <w:szCs w:val="48"/>
        </w:rPr>
        <w:t>10 DE JUNIO</w:t>
      </w:r>
    </w:p>
    <w:p w:rsidR="004E5A3D" w:rsidRDefault="004E5A3D" w:rsidP="004E5A3D">
      <w:pPr>
        <w:pStyle w:val="NormalWeb"/>
        <w:shd w:val="clear" w:color="auto" w:fill="FFFFFF"/>
        <w:spacing w:before="0" w:beforeAutospacing="0"/>
        <w:jc w:val="center"/>
        <w:rPr>
          <w:rFonts w:ascii="Century" w:hAnsi="Century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92471" cy="3838575"/>
            <wp:effectExtent l="0" t="0" r="8255" b="0"/>
            <wp:docPr id="8" name="Imagen 8" descr="https://hablemosdeargentina.com/wp-content/uploads/2018/04/Islas-Malvinas-27-1024x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lemosdeargentina.com/wp-content/uploads/2018/04/Islas-Malvinas-27-1024x7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03" cy="38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B6" w:rsidRDefault="00F70DB6" w:rsidP="00F70DB6">
      <w:pPr>
        <w:pStyle w:val="NormalWeb"/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  <w:r w:rsidRPr="00F70DB6">
        <w:rPr>
          <w:rFonts w:ascii="Century" w:hAnsi="Century"/>
          <w:sz w:val="32"/>
          <w:szCs w:val="32"/>
          <w:shd w:val="clear" w:color="auto" w:fill="FFFFFF"/>
        </w:rPr>
        <w:t>1.</w:t>
      </w:r>
      <w:r>
        <w:rPr>
          <w:rFonts w:ascii="Century" w:hAnsi="Century"/>
          <w:sz w:val="32"/>
          <w:szCs w:val="32"/>
          <w:shd w:val="clear" w:color="auto" w:fill="FFFFFF"/>
        </w:rPr>
        <w:t xml:space="preserve"> 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la </w:t>
      </w:r>
      <w:r w:rsidRPr="00F70DB6">
        <w:rPr>
          <w:rFonts w:ascii="Century" w:hAnsi="Century"/>
          <w:color w:val="FF0000"/>
          <w:sz w:val="32"/>
          <w:szCs w:val="32"/>
          <w:shd w:val="clear" w:color="auto" w:fill="FFFFFF"/>
        </w:rPr>
        <w:t>soberanía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 puede definirse como la </w:t>
      </w:r>
      <w:r w:rsidRPr="00F70DB6">
        <w:rPr>
          <w:rFonts w:ascii="Century" w:hAnsi="Century"/>
          <w:color w:val="00B050"/>
          <w:sz w:val="32"/>
          <w:szCs w:val="32"/>
          <w:shd w:val="clear" w:color="auto" w:fill="FFFFFF"/>
        </w:rPr>
        <w:t>autoridad suprema</w:t>
      </w:r>
      <w:r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F70DB6" w:rsidRDefault="00F70DB6" w:rsidP="00F70DB6">
      <w:pPr>
        <w:pStyle w:val="NormalWeb"/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  <w:shd w:val="clear" w:color="auto" w:fill="FFFFFF"/>
        </w:rPr>
        <w:t xml:space="preserve">2. 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Nuestro </w:t>
      </w:r>
      <w:r w:rsidRPr="00F70DB6">
        <w:rPr>
          <w:rFonts w:ascii="Century" w:hAnsi="Century"/>
          <w:color w:val="FF0000"/>
          <w:sz w:val="32"/>
          <w:szCs w:val="32"/>
          <w:shd w:val="clear" w:color="auto" w:fill="FFFFFF"/>
        </w:rPr>
        <w:t>territorio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 abarca tres tipos de espacios: el </w:t>
      </w:r>
      <w:r w:rsidRPr="00F70DB6">
        <w:rPr>
          <w:rFonts w:ascii="Century" w:hAnsi="Century"/>
          <w:color w:val="806000" w:themeColor="accent4" w:themeShade="80"/>
          <w:sz w:val="32"/>
          <w:szCs w:val="32"/>
          <w:shd w:val="clear" w:color="auto" w:fill="FFFFFF"/>
        </w:rPr>
        <w:t>terrestre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, el </w:t>
      </w:r>
      <w:r w:rsidRPr="00F70DB6">
        <w:rPr>
          <w:rFonts w:ascii="Century" w:hAnsi="Century"/>
          <w:color w:val="1F4E79" w:themeColor="accent1" w:themeShade="80"/>
          <w:sz w:val="32"/>
          <w:szCs w:val="32"/>
          <w:shd w:val="clear" w:color="auto" w:fill="FFFFFF"/>
        </w:rPr>
        <w:t>marítimo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 y el </w:t>
      </w:r>
      <w:r w:rsidRPr="00F70DB6">
        <w:rPr>
          <w:rFonts w:ascii="Century" w:hAnsi="Century"/>
          <w:color w:val="9CC2E5" w:themeColor="accent1" w:themeTint="99"/>
          <w:sz w:val="32"/>
          <w:szCs w:val="32"/>
          <w:shd w:val="clear" w:color="auto" w:fill="FFFFFF"/>
        </w:rPr>
        <w:t>aéreo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, en las que el Estado nacional ejerce su </w:t>
      </w:r>
      <w:r w:rsidRPr="00F70DB6">
        <w:rPr>
          <w:rFonts w:ascii="Century" w:hAnsi="Century"/>
          <w:color w:val="7030A0"/>
          <w:sz w:val="32"/>
          <w:szCs w:val="32"/>
          <w:shd w:val="clear" w:color="auto" w:fill="FFFFFF"/>
        </w:rPr>
        <w:t>autoridad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 y el control de </w:t>
      </w:r>
      <w:r w:rsidRPr="00F70DB6">
        <w:rPr>
          <w:rFonts w:ascii="Century" w:hAnsi="Century"/>
          <w:color w:val="FFC000"/>
          <w:sz w:val="32"/>
          <w:szCs w:val="32"/>
          <w:shd w:val="clear" w:color="auto" w:fill="FFFFFF"/>
        </w:rPr>
        <w:t>manera exclusiva</w:t>
      </w:r>
      <w:r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F70DB6" w:rsidRDefault="00F70DB6" w:rsidP="00F70DB6">
      <w:pPr>
        <w:pStyle w:val="NormalWeb"/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  <w:r>
        <w:rPr>
          <w:rFonts w:ascii="Century" w:hAnsi="Century"/>
          <w:sz w:val="32"/>
          <w:szCs w:val="32"/>
          <w:shd w:val="clear" w:color="auto" w:fill="FFFFFF"/>
        </w:rPr>
        <w:t>3.</w:t>
      </w:r>
      <w:r w:rsidRPr="00F70DB6">
        <w:rPr>
          <w:rFonts w:ascii="Helvetica" w:hAnsi="Helvetica"/>
          <w:color w:val="70757A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/>
          <w:color w:val="70757A"/>
          <w:sz w:val="21"/>
          <w:szCs w:val="21"/>
          <w:shd w:val="clear" w:color="auto" w:fill="FFFFFF"/>
        </w:rPr>
        <w:t> 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Conmemoramos un </w:t>
      </w:r>
      <w:r w:rsidRPr="00F70DB6">
        <w:rPr>
          <w:rFonts w:ascii="Century" w:hAnsi="Century"/>
          <w:color w:val="FF0000"/>
          <w:sz w:val="32"/>
          <w:szCs w:val="32"/>
          <w:shd w:val="clear" w:color="auto" w:fill="FFFFFF"/>
        </w:rPr>
        <w:t>nuevo aniversario del Día de la Afirmación de los Derechos Argentinos</w:t>
      </w:r>
      <w:r w:rsidRPr="00F70DB6">
        <w:rPr>
          <w:rFonts w:ascii="Century" w:hAnsi="Century"/>
          <w:sz w:val="32"/>
          <w:szCs w:val="32"/>
          <w:shd w:val="clear" w:color="auto" w:fill="FFFFFF"/>
        </w:rPr>
        <w:t xml:space="preserve"> sobre las </w:t>
      </w:r>
      <w:r w:rsidRPr="00F70DB6">
        <w:rPr>
          <w:rFonts w:ascii="Century" w:hAnsi="Century"/>
          <w:color w:val="00B0F0"/>
          <w:sz w:val="32"/>
          <w:szCs w:val="32"/>
          <w:shd w:val="clear" w:color="auto" w:fill="FFFFFF"/>
        </w:rPr>
        <w:t>Malvinas, Islas y Sector Antártico</w:t>
      </w:r>
      <w:r>
        <w:rPr>
          <w:rFonts w:ascii="Century" w:hAnsi="Century"/>
          <w:sz w:val="32"/>
          <w:szCs w:val="32"/>
          <w:shd w:val="clear" w:color="auto" w:fill="FFFFFF"/>
        </w:rPr>
        <w:t>.</w:t>
      </w:r>
    </w:p>
    <w:p w:rsidR="00F70DB6" w:rsidRDefault="00F70DB6" w:rsidP="002E17CC">
      <w:pPr>
        <w:pStyle w:val="NormalWeb"/>
        <w:shd w:val="clear" w:color="auto" w:fill="FFFFFF"/>
        <w:spacing w:before="0" w:beforeAutospacing="0"/>
        <w:jc w:val="center"/>
        <w:rPr>
          <w:rFonts w:ascii="Century" w:hAnsi="Century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72013" cy="3114675"/>
            <wp:effectExtent l="0" t="0" r="0" b="0"/>
            <wp:docPr id="9" name="Imagen 9" descr="https://1.bp.blogspot.com/-pccvb8hz-Fo/VZh3fqVvqgI/AAAAAAAAAL0/ELD52TFnAHY/s1600/georgia4_714x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pccvb8hz-Fo/VZh3fqVvqgI/AAAAAAAAAL0/ELD52TFnAHY/s1600/georgia4_714x4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04" cy="3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CC" w:rsidRDefault="002E17CC" w:rsidP="002E17CC">
      <w:pPr>
        <w:pStyle w:val="NormalWeb"/>
        <w:shd w:val="clear" w:color="auto" w:fill="FFFFFF"/>
        <w:spacing w:before="0" w:beforeAutospacing="0"/>
        <w:jc w:val="center"/>
        <w:rPr>
          <w:rFonts w:ascii="Century" w:hAnsi="Century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175899" cy="1876425"/>
            <wp:effectExtent l="0" t="0" r="0" b="0"/>
            <wp:docPr id="10" name="Imagen 10" descr="https://live.staticflickr.com/1126/1306023103_4a550ee68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ve.staticflickr.com/1126/1306023103_4a550ee689_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44" cy="18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CC" w:rsidRDefault="002E17CC" w:rsidP="002E17CC">
      <w:pPr>
        <w:pStyle w:val="NormalWeb"/>
        <w:shd w:val="clear" w:color="auto" w:fill="FFFFFF"/>
        <w:spacing w:before="0" w:beforeAutospacing="0"/>
        <w:jc w:val="center"/>
        <w:rPr>
          <w:rFonts w:ascii="Century" w:hAnsi="Century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791075" cy="2808423"/>
            <wp:effectExtent l="0" t="0" r="0" b="0"/>
            <wp:docPr id="11" name="Imagen 11" descr="https://www.serindustria.com.ar/wp-content/uploads/2020/11/image-2020-11-03T115703.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erindustria.com.ar/wp-content/uploads/2020/11/image-2020-11-03T115703.4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02" cy="28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CC" w:rsidRDefault="002E17CC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lastRenderedPageBreak/>
        <w:t>DIA DE LA CRUZ ROJA</w:t>
      </w:r>
    </w:p>
    <w:p w:rsidR="002E17CC" w:rsidRDefault="002E17CC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color w:val="FF0000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color w:val="FF0000"/>
          <w:sz w:val="48"/>
          <w:szCs w:val="48"/>
          <w:shd w:val="clear" w:color="auto" w:fill="FFFFFF"/>
        </w:rPr>
        <w:t>10 DE JUNIO</w:t>
      </w:r>
    </w:p>
    <w:p w:rsidR="002E17CC" w:rsidRDefault="002E17CC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color w:val="FF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2130" cy="3055493"/>
            <wp:effectExtent l="0" t="0" r="7620" b="0"/>
            <wp:docPr id="12" name="Imagen 12" descr="https://www.latrochadigital.com.ar/wp-content/uploads/2020/06/Cruz-Roja-Arg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atrochadigital.com.ar/wp-content/uploads/2020/06/Cruz-Roja-Argent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CC" w:rsidRDefault="002E17CC" w:rsidP="002E17CC">
      <w:pPr>
        <w:pStyle w:val="NormalWeb"/>
        <w:numPr>
          <w:ilvl w:val="0"/>
          <w:numId w:val="7"/>
        </w:numPr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el </w:t>
      </w:r>
      <w:r w:rsidRPr="002E17CC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>10 de junio de 1880 se creó la Cruz Roja Argentina</w:t>
      </w: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 por iniciativa de los médicos </w:t>
      </w:r>
      <w:r w:rsidRPr="002E17CC">
        <w:rPr>
          <w:rFonts w:ascii="Century" w:hAnsi="Century" w:cs="Helvetica"/>
          <w:color w:val="00B050"/>
          <w:sz w:val="32"/>
          <w:szCs w:val="32"/>
          <w:shd w:val="clear" w:color="auto" w:fill="FFFFFF"/>
        </w:rPr>
        <w:t>Toribio Ayerza y Guillermo Rawson</w:t>
      </w: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, quienes luego serían </w:t>
      </w:r>
      <w:r w:rsidRPr="002E17CC">
        <w:rPr>
          <w:rFonts w:ascii="Century" w:hAnsi="Century" w:cs="Helvetica"/>
          <w:color w:val="7030A0"/>
          <w:sz w:val="32"/>
          <w:szCs w:val="32"/>
          <w:shd w:val="clear" w:color="auto" w:fill="FFFFFF"/>
        </w:rPr>
        <w:t>proclamados como sus presidentes</w:t>
      </w:r>
      <w:r>
        <w:rPr>
          <w:rFonts w:ascii="Century" w:hAnsi="Century" w:cs="Helvetica"/>
          <w:sz w:val="32"/>
          <w:szCs w:val="32"/>
          <w:shd w:val="clear" w:color="auto" w:fill="FFFFFF"/>
        </w:rPr>
        <w:t>.</w:t>
      </w:r>
      <w:r w:rsidRPr="002E17CC">
        <w:rPr>
          <w:rFonts w:ascii="Century" w:hAnsi="Century"/>
          <w:sz w:val="32"/>
          <w:szCs w:val="32"/>
          <w:shd w:val="clear" w:color="auto" w:fill="FFFFFF"/>
        </w:rPr>
        <w:t xml:space="preserve"> </w:t>
      </w:r>
    </w:p>
    <w:p w:rsidR="002E17CC" w:rsidRDefault="002E17CC" w:rsidP="00F70244">
      <w:pPr>
        <w:pStyle w:val="NormalWeb"/>
        <w:shd w:val="clear" w:color="auto" w:fill="FFFFFF"/>
        <w:spacing w:before="0" w:beforeAutospacing="0"/>
        <w:ind w:left="360"/>
        <w:rPr>
          <w:rFonts w:ascii="Century" w:hAnsi="Century"/>
          <w:sz w:val="32"/>
          <w:szCs w:val="32"/>
          <w:shd w:val="clear" w:color="auto" w:fill="FFFFFF"/>
        </w:rPr>
      </w:pPr>
    </w:p>
    <w:p w:rsidR="002E17CC" w:rsidRPr="00F70244" w:rsidRDefault="002E17CC" w:rsidP="002E17CC">
      <w:pPr>
        <w:pStyle w:val="NormalWeb"/>
        <w:numPr>
          <w:ilvl w:val="0"/>
          <w:numId w:val="7"/>
        </w:numPr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el </w:t>
      </w:r>
      <w:r w:rsidRPr="00F70244">
        <w:rPr>
          <w:rFonts w:ascii="Century" w:hAnsi="Century" w:cs="Helvetica"/>
          <w:color w:val="7030A0"/>
          <w:sz w:val="32"/>
          <w:szCs w:val="32"/>
          <w:shd w:val="clear" w:color="auto" w:fill="FFFFFF"/>
        </w:rPr>
        <w:t xml:space="preserve">objetivo de formar y de fortalecer día a día a nuestros equipos de trabajo </w:t>
      </w: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en todos sus niveles para poder ampliar cada vez más la </w:t>
      </w:r>
      <w:r w:rsidRPr="00F70244">
        <w:rPr>
          <w:rFonts w:ascii="Century" w:hAnsi="Century" w:cs="Helvetica"/>
          <w:color w:val="385623" w:themeColor="accent6" w:themeShade="80"/>
          <w:sz w:val="32"/>
          <w:szCs w:val="32"/>
          <w:shd w:val="clear" w:color="auto" w:fill="FFFFFF"/>
        </w:rPr>
        <w:t xml:space="preserve">acción humanitaria </w:t>
      </w: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 xml:space="preserve">en la </w:t>
      </w:r>
      <w:r w:rsidRPr="00F70244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>República Argentina</w:t>
      </w:r>
      <w:r w:rsidRPr="002E17CC"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F70244" w:rsidRDefault="00F70244" w:rsidP="00F70244">
      <w:pPr>
        <w:pStyle w:val="Prrafodelista"/>
        <w:rPr>
          <w:rFonts w:ascii="Century" w:hAnsi="Century"/>
          <w:sz w:val="32"/>
          <w:szCs w:val="32"/>
          <w:shd w:val="clear" w:color="auto" w:fill="FFFFFF"/>
        </w:rPr>
      </w:pPr>
    </w:p>
    <w:p w:rsidR="00F70244" w:rsidRPr="002E17CC" w:rsidRDefault="00F70244" w:rsidP="00F70244">
      <w:pPr>
        <w:pStyle w:val="NormalWeb"/>
        <w:shd w:val="clear" w:color="auto" w:fill="FFFFFF"/>
        <w:spacing w:before="0" w:beforeAutospacing="0"/>
        <w:ind w:left="360"/>
        <w:rPr>
          <w:rFonts w:ascii="Century" w:hAnsi="Century"/>
          <w:sz w:val="32"/>
          <w:szCs w:val="32"/>
          <w:shd w:val="clear" w:color="auto" w:fill="FFFFFF"/>
        </w:rPr>
      </w:pPr>
    </w:p>
    <w:p w:rsidR="002E17CC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346314" wp14:editId="68C998E1">
            <wp:extent cx="5019675" cy="3346451"/>
            <wp:effectExtent l="0" t="0" r="0" b="6350"/>
            <wp:docPr id="13" name="Imagen 13" descr="https://tse3.mm.bing.net/th?id=OIP.XEomdawYUnSCU9qacyHCAwHaE8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e3.mm.bing.net/th?id=OIP.XEomdawYUnSCU9qacyHCAwHaE8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31" cy="33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44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67175" cy="4015079"/>
            <wp:effectExtent l="0" t="0" r="0" b="5080"/>
            <wp:docPr id="14" name="Imagen 14" descr="https://3.bp.blogspot.com/-rLN5YGP2xWE/T6lli-qVRyI/AAAAAAAABw4/3x-pOuujRuo/s1600/cruz-r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rLN5YGP2xWE/T6lli-qVRyI/AAAAAAAABw4/3x-pOuujRuo/s1600/cruz-ro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64" cy="40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44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Copperplate Gothic Bold" w:hAnsi="Copperplate Gothic Bold"/>
          <w:sz w:val="70"/>
          <w:szCs w:val="70"/>
          <w:shd w:val="clear" w:color="auto" w:fill="FFFFFF"/>
        </w:rPr>
      </w:pPr>
      <w:r w:rsidRPr="00F70244">
        <w:rPr>
          <w:rFonts w:ascii="Copperplate Gothic Bold" w:hAnsi="Copperplate Gothic Bold"/>
          <w:sz w:val="70"/>
          <w:szCs w:val="70"/>
          <w:shd w:val="clear" w:color="auto" w:fill="FFFFFF"/>
        </w:rPr>
        <w:t>DIA DE LA CRUZ</w:t>
      </w:r>
      <w:r>
        <w:rPr>
          <w:rFonts w:ascii="Copperplate Gothic Bold" w:hAnsi="Copperplate Gothic Bold"/>
          <w:sz w:val="72"/>
          <w:szCs w:val="72"/>
          <w:shd w:val="clear" w:color="auto" w:fill="FFFFFF"/>
        </w:rPr>
        <w:t xml:space="preserve"> </w:t>
      </w:r>
      <w:r>
        <w:rPr>
          <w:rFonts w:ascii="Copperplate Gothic Bold" w:hAnsi="Copperplate Gothic Bold"/>
          <w:sz w:val="70"/>
          <w:szCs w:val="70"/>
          <w:shd w:val="clear" w:color="auto" w:fill="FFFFFF"/>
        </w:rPr>
        <w:t>ROJA</w:t>
      </w:r>
    </w:p>
    <w:p w:rsidR="00F70244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lastRenderedPageBreak/>
        <w:t>DIA DE LA BANDERA</w:t>
      </w:r>
    </w:p>
    <w:p w:rsidR="00F70244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color w:val="FF0000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color w:val="FF0000"/>
          <w:sz w:val="48"/>
          <w:szCs w:val="48"/>
          <w:shd w:val="clear" w:color="auto" w:fill="FFFFFF"/>
        </w:rPr>
        <w:t>20 DE JUNIO</w:t>
      </w:r>
    </w:p>
    <w:p w:rsidR="00F70244" w:rsidRDefault="00F70244" w:rsidP="002E17CC">
      <w:pPr>
        <w:pStyle w:val="NormalWeb"/>
        <w:shd w:val="clear" w:color="auto" w:fill="FFFFFF"/>
        <w:spacing w:before="0" w:beforeAutospacing="0"/>
        <w:jc w:val="center"/>
        <w:rPr>
          <w:rFonts w:ascii="Century" w:hAnsi="Century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657725" cy="3495675"/>
            <wp:effectExtent l="0" t="0" r="9525" b="9525"/>
            <wp:docPr id="18" name="Imagen 18" descr="Día de la Bandera: ¿Por qué se celebra hoy, 20 de junio, en Argenti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ía de la Bandera: ¿Por qué se celebra hoy, 20 de junio, en Argentina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44" w:rsidRDefault="00F70244" w:rsidP="00F70244">
      <w:pPr>
        <w:pStyle w:val="NormalWeb"/>
        <w:shd w:val="clear" w:color="auto" w:fill="FFFFFF"/>
        <w:spacing w:before="0" w:beforeAutospacing="0"/>
        <w:rPr>
          <w:rFonts w:ascii="Century" w:hAnsi="Century" w:cs="Helvetica"/>
          <w:sz w:val="32"/>
          <w:szCs w:val="32"/>
          <w:shd w:val="clear" w:color="auto" w:fill="FFFFFF"/>
        </w:rPr>
      </w:pP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>1.</w:t>
      </w:r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 </w:t>
      </w: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>El </w:t>
      </w:r>
      <w:r w:rsidRPr="00F70244">
        <w:rPr>
          <w:rFonts w:ascii="Century" w:hAnsi="Century" w:cs="Helvetica"/>
          <w:color w:val="2E74B5" w:themeColor="accent1" w:themeShade="BF"/>
          <w:sz w:val="32"/>
          <w:szCs w:val="32"/>
          <w:shd w:val="clear" w:color="auto" w:fill="FFFFFF"/>
        </w:rPr>
        <w:t xml:space="preserve">Día de la Bandera en la Argentina </w:t>
      </w: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 xml:space="preserve">se conmemora cada </w:t>
      </w:r>
      <w:r w:rsidRPr="00F70244">
        <w:rPr>
          <w:rFonts w:ascii="Century" w:hAnsi="Century" w:cs="Helvetica"/>
          <w:color w:val="FFFF00"/>
          <w:sz w:val="32"/>
          <w:szCs w:val="32"/>
          <w:shd w:val="clear" w:color="auto" w:fill="FFFFFF"/>
        </w:rPr>
        <w:t>20 de junio</w:t>
      </w: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 xml:space="preserve">, y esta fecha fue elegida por tratarse de la </w:t>
      </w:r>
      <w:r w:rsidRPr="00E452A2">
        <w:rPr>
          <w:rFonts w:ascii="Century" w:hAnsi="Century" w:cs="Helvetica"/>
          <w:color w:val="00B050"/>
          <w:sz w:val="32"/>
          <w:szCs w:val="32"/>
          <w:shd w:val="clear" w:color="auto" w:fill="FFFFFF"/>
        </w:rPr>
        <w:t>efeméride de la muerte</w:t>
      </w: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 xml:space="preserve">, en 1820, de </w:t>
      </w:r>
      <w:r w:rsidRPr="00E452A2">
        <w:rPr>
          <w:rFonts w:ascii="Century" w:hAnsi="Century" w:cs="Helvetica"/>
          <w:color w:val="C00000"/>
          <w:sz w:val="32"/>
          <w:szCs w:val="32"/>
          <w:shd w:val="clear" w:color="auto" w:fill="FFFFFF"/>
        </w:rPr>
        <w:t>Manuel Belgrano</w:t>
      </w:r>
      <w:r w:rsidRPr="00F70244">
        <w:rPr>
          <w:rFonts w:ascii="Century" w:hAnsi="Century" w:cs="Helvetica"/>
          <w:sz w:val="32"/>
          <w:szCs w:val="32"/>
          <w:shd w:val="clear" w:color="auto" w:fill="FFFFFF"/>
        </w:rPr>
        <w:t>: el creador de este emblema</w:t>
      </w:r>
      <w:r w:rsidR="00E452A2"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E452A2" w:rsidRDefault="00E452A2" w:rsidP="00F70244">
      <w:pPr>
        <w:pStyle w:val="NormalWeb"/>
        <w:shd w:val="clear" w:color="auto" w:fill="FFFFFF"/>
        <w:spacing w:before="0" w:beforeAutospacing="0"/>
        <w:rPr>
          <w:rFonts w:ascii="Century" w:hAnsi="Century" w:cs="Helvetica"/>
          <w:sz w:val="32"/>
          <w:szCs w:val="32"/>
          <w:shd w:val="clear" w:color="auto" w:fill="FFFFFF"/>
        </w:rPr>
      </w:pPr>
      <w:r>
        <w:rPr>
          <w:rFonts w:ascii="Century" w:hAnsi="Century" w:cs="Helvetica"/>
          <w:sz w:val="32"/>
          <w:szCs w:val="32"/>
          <w:shd w:val="clear" w:color="auto" w:fill="FFFFFF"/>
        </w:rPr>
        <w:t xml:space="preserve">2. </w:t>
      </w:r>
      <w:r w:rsidRPr="00E452A2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 xml:space="preserve">Manuel José Joaquín del Corazón de Jesús Belgrano 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(Buenos Aires, Imperio español; 3 de junio de 1770-Buenos Aires, Provincias Unidas del Río de la Plata, 20 de junio de 1820) </w:t>
      </w:r>
      <w:r w:rsidRPr="00E452A2">
        <w:rPr>
          <w:rFonts w:ascii="Century" w:hAnsi="Century" w:cs="Helvetica"/>
          <w:color w:val="92D050"/>
          <w:sz w:val="32"/>
          <w:szCs w:val="32"/>
          <w:shd w:val="clear" w:color="auto" w:fill="FFFFFF"/>
        </w:rPr>
        <w:t>fue un abogado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, economista, periodista, político, </w:t>
      </w:r>
      <w:r w:rsidRPr="00E452A2">
        <w:rPr>
          <w:rFonts w:ascii="Century" w:hAnsi="Century" w:cs="Helvetica"/>
          <w:color w:val="7030A0"/>
          <w:sz w:val="32"/>
          <w:szCs w:val="32"/>
          <w:shd w:val="clear" w:color="auto" w:fill="FFFFFF"/>
        </w:rPr>
        <w:t>diplomático y militar argentino de destacada actuación en el Alto Perú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 y en las </w:t>
      </w:r>
      <w:r w:rsidRPr="00E452A2">
        <w:rPr>
          <w:rFonts w:ascii="Century" w:hAnsi="Century" w:cs="Helvetica"/>
          <w:color w:val="808080" w:themeColor="background1" w:themeShade="80"/>
          <w:sz w:val="32"/>
          <w:szCs w:val="32"/>
          <w:shd w:val="clear" w:color="auto" w:fill="FFFFFF"/>
        </w:rPr>
        <w:t>actuales Argentina y Paraguay durante las dos primeras décadas</w:t>
      </w:r>
      <w:r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E452A2" w:rsidRDefault="00E452A2" w:rsidP="00F70244">
      <w:pPr>
        <w:pStyle w:val="NormalWeb"/>
        <w:shd w:val="clear" w:color="auto" w:fill="FFFFFF"/>
        <w:spacing w:before="0" w:beforeAutospacing="0"/>
        <w:rPr>
          <w:rFonts w:ascii="Century" w:hAnsi="Century" w:cs="Helvetica"/>
          <w:sz w:val="32"/>
          <w:szCs w:val="32"/>
          <w:shd w:val="clear" w:color="auto" w:fill="FFFFFF"/>
        </w:rPr>
      </w:pPr>
      <w:r>
        <w:rPr>
          <w:rFonts w:ascii="Century" w:hAnsi="Century" w:cs="Helvetica"/>
          <w:sz w:val="32"/>
          <w:szCs w:val="32"/>
          <w:shd w:val="clear" w:color="auto" w:fill="FFFFFF"/>
        </w:rPr>
        <w:lastRenderedPageBreak/>
        <w:t>3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. </w:t>
      </w:r>
      <w:r w:rsidRPr="00E452A2">
        <w:rPr>
          <w:rFonts w:ascii="Century" w:hAnsi="Century" w:cs="Helvetica"/>
          <w:color w:val="FF0000"/>
          <w:sz w:val="32"/>
          <w:szCs w:val="32"/>
          <w:shd w:val="clear" w:color="auto" w:fill="FFFFFF"/>
        </w:rPr>
        <w:t>El 27 de febrero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>, hace 208 años, la </w:t>
      </w:r>
      <w:r w:rsidRPr="00E452A2">
        <w:rPr>
          <w:rFonts w:ascii="Century" w:hAnsi="Century" w:cs="Helvetica"/>
          <w:color w:val="FFFF00"/>
          <w:sz w:val="32"/>
          <w:szCs w:val="32"/>
          <w:shd w:val="clear" w:color="auto" w:fill="FFFFFF"/>
        </w:rPr>
        <w:t>bandera Argentina se elevaba por primera vez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. </w:t>
      </w:r>
      <w:r w:rsidRPr="00E452A2">
        <w:rPr>
          <w:rFonts w:ascii="Century" w:hAnsi="Century" w:cs="Helvetica"/>
          <w:color w:val="C00000"/>
          <w:sz w:val="32"/>
          <w:szCs w:val="32"/>
          <w:shd w:val="clear" w:color="auto" w:fill="FFFFFF"/>
        </w:rPr>
        <w:t>Manuel Belgrano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, quien tomó los colores de la </w:t>
      </w:r>
      <w:r w:rsidRPr="00E452A2">
        <w:rPr>
          <w:rFonts w:ascii="Century" w:hAnsi="Century" w:cs="Helvetica"/>
          <w:color w:val="00B0F0"/>
          <w:sz w:val="32"/>
          <w:szCs w:val="32"/>
          <w:shd w:val="clear" w:color="auto" w:fill="FFFFFF"/>
        </w:rPr>
        <w:t>escarapela</w:t>
      </w:r>
      <w:r w:rsidRPr="00E452A2">
        <w:rPr>
          <w:rFonts w:ascii="Century" w:hAnsi="Century" w:cs="Helvetica"/>
          <w:sz w:val="32"/>
          <w:szCs w:val="32"/>
          <w:shd w:val="clear" w:color="auto" w:fill="FFFFFF"/>
        </w:rPr>
        <w:t xml:space="preserve"> que ya se encontraba en uso en ese entonces</w:t>
      </w:r>
      <w:r>
        <w:rPr>
          <w:rFonts w:ascii="Century" w:hAnsi="Century" w:cs="Helvetica"/>
          <w:sz w:val="32"/>
          <w:szCs w:val="32"/>
          <w:shd w:val="clear" w:color="auto" w:fill="FFFFFF"/>
        </w:rPr>
        <w:t>.</w:t>
      </w:r>
    </w:p>
    <w:p w:rsidR="00E452A2" w:rsidRPr="00E452A2" w:rsidRDefault="00E452A2" w:rsidP="00F70244">
      <w:pPr>
        <w:pStyle w:val="NormalWeb"/>
        <w:shd w:val="clear" w:color="auto" w:fill="FFFFFF"/>
        <w:spacing w:before="0" w:beforeAutospacing="0"/>
        <w:rPr>
          <w:rFonts w:ascii="Century" w:hAnsi="Century"/>
          <w:sz w:val="32"/>
          <w:szCs w:val="32"/>
          <w:shd w:val="clear" w:color="auto" w:fill="FFFFFF"/>
        </w:rPr>
      </w:pPr>
    </w:p>
    <w:p w:rsidR="00F70244" w:rsidRDefault="00E452A2" w:rsidP="002E17CC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5463281" cy="3571875"/>
            <wp:effectExtent l="0" t="0" r="4445" b="0"/>
            <wp:docPr id="20" name="Imagen 20" descr="https://www.cadenanueve.com/wp-content/uploads/2022/02/n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adenanueve.com/wp-content/uploads/2022/02/nue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90" cy="35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1. 1770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2. Del Corazón de Jesús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3. De Náutica y Geometría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4. </w:t>
      </w:r>
      <w:proofErr w:type="spellStart"/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Telegrafo</w:t>
      </w:r>
      <w:proofErr w:type="spellEnd"/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Mercantil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5.</w:t>
      </w:r>
      <w:r w:rsidR="00DE4A31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</w:t>
      </w:r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Libertad </w:t>
      </w:r>
      <w:proofErr w:type="spellStart"/>
      <w:proofErr w:type="gramStart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>y</w:t>
      </w:r>
      <w:proofErr w:type="spellEnd"/>
      <w:proofErr w:type="gramEnd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Independencia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lastRenderedPageBreak/>
        <w:t xml:space="preserve">6. </w:t>
      </w:r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>Rosario, 1812</w:t>
      </w:r>
    </w:p>
    <w:p w:rsidR="00250CF4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7.</w:t>
      </w:r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Salta y </w:t>
      </w:r>
      <w:proofErr w:type="spellStart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>Tucuman</w:t>
      </w:r>
      <w:proofErr w:type="spellEnd"/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8.</w:t>
      </w:r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</w:t>
      </w:r>
      <w:proofErr w:type="spellStart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>Vilcapugio</w:t>
      </w:r>
      <w:proofErr w:type="spellEnd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y </w:t>
      </w:r>
      <w:proofErr w:type="spellStart"/>
      <w:r w:rsidR="00250CF4">
        <w:rPr>
          <w:rFonts w:ascii="Franklin Gothic Medium Cond" w:hAnsi="Franklin Gothic Medium Cond"/>
          <w:sz w:val="48"/>
          <w:szCs w:val="48"/>
          <w:shd w:val="clear" w:color="auto" w:fill="FFFFFF"/>
        </w:rPr>
        <w:t>Ayohuma</w:t>
      </w:r>
      <w:proofErr w:type="spellEnd"/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9.</w:t>
      </w:r>
      <w:r w:rsidR="00136318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10.</w:t>
      </w:r>
    </w:p>
    <w:p w:rsidR="00E452A2" w:rsidRDefault="00E452A2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11.</w:t>
      </w:r>
      <w:r w:rsidR="00136318">
        <w:rPr>
          <w:rFonts w:ascii="Franklin Gothic Medium Cond" w:hAnsi="Franklin Gothic Medium Cond"/>
          <w:sz w:val="48"/>
          <w:szCs w:val="48"/>
          <w:shd w:val="clear" w:color="auto" w:fill="FFFFFF"/>
        </w:rPr>
        <w:t xml:space="preserve"> 20 de Junio</w:t>
      </w:r>
    </w:p>
    <w:p w:rsidR="00136318" w:rsidRDefault="00136318" w:rsidP="00E452A2">
      <w:pPr>
        <w:pStyle w:val="NormalWeb"/>
        <w:shd w:val="clear" w:color="auto" w:fill="FFFFFF"/>
        <w:spacing w:before="0" w:beforeAutospacing="0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rFonts w:ascii="Franklin Gothic Medium Cond" w:hAnsi="Franklin Gothic Medium Cond"/>
          <w:sz w:val="48"/>
          <w:szCs w:val="48"/>
          <w:shd w:val="clear" w:color="auto" w:fill="FFFFFF"/>
        </w:rPr>
        <w:t>12. 1820</w:t>
      </w:r>
    </w:p>
    <w:p w:rsidR="00136318" w:rsidRDefault="00136318" w:rsidP="00136318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2130" cy="2886447"/>
            <wp:effectExtent l="0" t="0" r="7620" b="9525"/>
            <wp:docPr id="21" name="Imagen 21" descr="https://www.telediariodigital.net/wp-content/uploads/2020/06/bel-768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telediariodigital.net/wp-content/uploads/2020/06/bel-768x3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38" w:rsidRDefault="002E6F38" w:rsidP="00136318">
      <w:pPr>
        <w:pStyle w:val="NormalWeb"/>
        <w:shd w:val="clear" w:color="auto" w:fill="FFFFFF"/>
        <w:spacing w:before="0" w:beforeAutospacing="0"/>
        <w:jc w:val="center"/>
        <w:rPr>
          <w:rFonts w:ascii="Franklin Gothic Medium Cond" w:hAnsi="Franklin Gothic Medium Cond"/>
          <w:sz w:val="48"/>
          <w:szCs w:val="48"/>
          <w:shd w:val="clear" w:color="auto" w:fill="FFFFFF"/>
        </w:rPr>
      </w:pPr>
    </w:p>
    <w:sectPr w:rsidR="002E6F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07BCD"/>
    <w:multiLevelType w:val="hybridMultilevel"/>
    <w:tmpl w:val="24A66DE8"/>
    <w:lvl w:ilvl="0" w:tplc="21CA8B58">
      <w:start w:val="1"/>
      <w:numFmt w:val="decimal"/>
      <w:lvlText w:val="%1."/>
      <w:lvlJc w:val="left"/>
      <w:pPr>
        <w:ind w:left="720" w:hanging="360"/>
      </w:pPr>
      <w:rPr>
        <w:rFonts w:ascii="Century" w:hAnsi="Century" w:hint="default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26EB8"/>
    <w:multiLevelType w:val="hybridMultilevel"/>
    <w:tmpl w:val="EF681A9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8795D"/>
    <w:multiLevelType w:val="hybridMultilevel"/>
    <w:tmpl w:val="E4B48D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85ABA"/>
    <w:multiLevelType w:val="hybridMultilevel"/>
    <w:tmpl w:val="B5F0578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E1F67"/>
    <w:multiLevelType w:val="hybridMultilevel"/>
    <w:tmpl w:val="67208BC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4220"/>
    <w:multiLevelType w:val="hybridMultilevel"/>
    <w:tmpl w:val="B5A875A4"/>
    <w:lvl w:ilvl="0" w:tplc="FB3E3A6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B1077"/>
    <w:multiLevelType w:val="hybridMultilevel"/>
    <w:tmpl w:val="9FBA49A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4E06B5"/>
    <w:multiLevelType w:val="hybridMultilevel"/>
    <w:tmpl w:val="411077B8"/>
    <w:lvl w:ilvl="0" w:tplc="626C4E88">
      <w:start w:val="1"/>
      <w:numFmt w:val="decimal"/>
      <w:lvlText w:val="%1."/>
      <w:lvlJc w:val="left"/>
      <w:pPr>
        <w:ind w:left="720" w:hanging="360"/>
      </w:pPr>
      <w:rPr>
        <w:rFonts w:cs="Helvetica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19"/>
    <w:rsid w:val="00003D19"/>
    <w:rsid w:val="00136318"/>
    <w:rsid w:val="00250CF4"/>
    <w:rsid w:val="002E17CC"/>
    <w:rsid w:val="002E6F38"/>
    <w:rsid w:val="003F0C06"/>
    <w:rsid w:val="004E5A3D"/>
    <w:rsid w:val="005106F5"/>
    <w:rsid w:val="00993DCA"/>
    <w:rsid w:val="009A0D3C"/>
    <w:rsid w:val="00DE4A31"/>
    <w:rsid w:val="00E452A2"/>
    <w:rsid w:val="00F70244"/>
    <w:rsid w:val="00F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D909C19-2B4B-4CEC-848B-68E4C331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3D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E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4E5A3D"/>
    <w:rPr>
      <w:b/>
      <w:bCs/>
    </w:rPr>
  </w:style>
  <w:style w:type="character" w:styleId="nfasis">
    <w:name w:val="Emphasis"/>
    <w:basedOn w:val="Fuentedeprrafopredeter"/>
    <w:uiPriority w:val="20"/>
    <w:qFormat/>
    <w:rsid w:val="004E5A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63998-1A7E-4028-8E43-BD29C7322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2024-07-02T23:04:00Z</dcterms:created>
  <dcterms:modified xsi:type="dcterms:W3CDTF">2024-07-02T23:09:00Z</dcterms:modified>
</cp:coreProperties>
</file>