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Juego del laberinto (grupo 4)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Materiales: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1-tablero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1-figura de Manuel Belgrano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Reglamento: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 juega de un jugador por Turno, donde este debe elegir camino en el laberinto que lo lleve hasta la bandera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Cada jugador tiene tres oportunidades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Gana el que llegue hasta la bandera 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