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9BF" w:rsidRPr="00D559BF" w:rsidRDefault="00D559BF" w:rsidP="00D559BF">
      <w:pPr>
        <w:pStyle w:val="Ttulo1"/>
        <w:shd w:val="clear" w:color="auto" w:fill="FFFFFF"/>
        <w:spacing w:before="0" w:beforeAutospacing="0" w:after="150" w:afterAutospacing="0" w:line="360" w:lineRule="atLeast"/>
        <w:textAlignment w:val="baseline"/>
        <w:rPr>
          <w:rFonts w:ascii="Arial" w:hAnsi="Arial" w:cs="Arial"/>
          <w:b w:val="0"/>
          <w:bCs w:val="0"/>
          <w:color w:val="444444"/>
          <w:spacing w:val="-15"/>
          <w:sz w:val="36"/>
          <w:szCs w:val="63"/>
        </w:rPr>
      </w:pPr>
      <w:r w:rsidRPr="00D559BF">
        <w:rPr>
          <w:rFonts w:ascii="Arial" w:hAnsi="Arial" w:cs="Arial"/>
          <w:b w:val="0"/>
          <w:bCs w:val="0"/>
          <w:color w:val="444444"/>
          <w:spacing w:val="-15"/>
          <w:sz w:val="36"/>
          <w:szCs w:val="63"/>
        </w:rPr>
        <w:t>LOS CUATRO PILARES DE LA EDUCACIÓN: INCULCAR EL GUSTO Y EL PLACER DE APRENDER</w:t>
      </w:r>
    </w:p>
    <w:p w:rsidR="00D559BF" w:rsidRDefault="00D559BF" w:rsidP="00D559BF">
      <w:pPr>
        <w:pStyle w:val="NormalWeb"/>
        <w:shd w:val="clear" w:color="auto" w:fill="FFFFFF"/>
        <w:spacing w:before="0" w:beforeAutospacing="0" w:after="0" w:afterAutospacing="0"/>
        <w:jc w:val="both"/>
        <w:textAlignment w:val="baseline"/>
        <w:rPr>
          <w:rStyle w:val="Textoennegrita"/>
          <w:color w:val="666666"/>
          <w:szCs w:val="27"/>
          <w:bdr w:val="none" w:sz="0" w:space="0" w:color="auto" w:frame="1"/>
        </w:rPr>
      </w:pPr>
      <w:r w:rsidRPr="00D559BF">
        <w:rPr>
          <w:rStyle w:val="Textoennegrita"/>
          <w:color w:val="666666"/>
          <w:szCs w:val="27"/>
          <w:bdr w:val="none" w:sz="0" w:space="0" w:color="auto" w:frame="1"/>
        </w:rPr>
        <w:t xml:space="preserve">Hay diversidad de opiniones sobre la cantidad y cualidad de los fundamentos o bases en que debe apoyarse la educación. Una muy buena explicación y síntesis sobre el planteamiento de Jacques </w:t>
      </w:r>
      <w:proofErr w:type="spellStart"/>
      <w:r w:rsidRPr="00D559BF">
        <w:rPr>
          <w:rStyle w:val="Textoennegrita"/>
          <w:color w:val="666666"/>
          <w:szCs w:val="27"/>
          <w:bdr w:val="none" w:sz="0" w:space="0" w:color="auto" w:frame="1"/>
        </w:rPr>
        <w:t>Delors</w:t>
      </w:r>
      <w:proofErr w:type="spellEnd"/>
      <w:r w:rsidRPr="00D559BF">
        <w:rPr>
          <w:rStyle w:val="Textoennegrita"/>
          <w:color w:val="666666"/>
          <w:szCs w:val="27"/>
          <w:bdr w:val="none" w:sz="0" w:space="0" w:color="auto" w:frame="1"/>
        </w:rPr>
        <w:t>, en torno a cuatro aprendizajes fundamentales, que la UNESCO trazó en el Informe Internacional sobre la Educación del Siglo XXI: “La Educación Encierra un Tesoro”. “La educación tiene la misión de permitir a todos sin excepción hacer fructificar todos sus talentos y todas sus capacidades de creación, lo que implica que cada uno pueda responsabilizarse de sí mismo y realizar su proyecto personal”.</w:t>
      </w:r>
    </w:p>
    <w:p w:rsidR="00D559BF" w:rsidRPr="00D559BF" w:rsidRDefault="00D559BF" w:rsidP="00D559BF">
      <w:pPr>
        <w:pStyle w:val="NormalWeb"/>
        <w:shd w:val="clear" w:color="auto" w:fill="FFFFFF"/>
        <w:spacing w:before="0" w:beforeAutospacing="0" w:after="0" w:afterAutospacing="0"/>
        <w:jc w:val="both"/>
        <w:textAlignment w:val="baseline"/>
        <w:rPr>
          <w:color w:val="666666"/>
          <w:szCs w:val="27"/>
        </w:rPr>
      </w:pPr>
      <w:bookmarkStart w:id="0" w:name="_GoBack"/>
      <w:bookmarkEnd w:id="0"/>
    </w:p>
    <w:p w:rsidR="00D559BF" w:rsidRPr="00D559BF" w:rsidRDefault="00D559BF" w:rsidP="00D559BF">
      <w:pPr>
        <w:pStyle w:val="NormalWeb"/>
        <w:shd w:val="clear" w:color="auto" w:fill="FFFFFF"/>
        <w:spacing w:before="0" w:beforeAutospacing="0" w:after="240" w:afterAutospacing="0"/>
        <w:jc w:val="both"/>
        <w:textAlignment w:val="baseline"/>
        <w:rPr>
          <w:color w:val="666666"/>
          <w:szCs w:val="27"/>
        </w:rPr>
      </w:pPr>
      <w:r w:rsidRPr="00D559BF">
        <w:rPr>
          <w:color w:val="666666"/>
          <w:szCs w:val="27"/>
        </w:rPr>
        <w:t>Una muy buena y sencilla explicación sobre este “soporte al nuevo enfoque por competencias que, en el marco de la globalización, de las sociedades del conocimiento y de nuevas generaciones con características y demandas distintas, requieren de una base teórico – metodológica para el desarrollo personal y social del ser humano del siglo XX” (Sonia Félix de la Riva); se publica en el Blog Maestros y Maestras Eficientes, de la Licenciada y Coaching Educativa Alba Jiménez, y que compartimos sólo con fines educativos- pastorales. Ella afirma que “la educación se ve obligada a proporcionar las cartas náuticas de un mundo complejo y en perpetua agitación y, al mismo tiempo, la brújula para poder navegar por él”; y que para ellos cuenta necesita con cuatro aprendizajes que o los pilares del conocimiento que son: aprender a conocer, aprender a aprender, aprender a vivir juntos y aprender a ser. Este artículo incluye una Infografía de la UNESCO sobre los Cuatro Pilares que en el transcurso de la vida serán para cada persona, en cierto sentido, los pilares del conocimiento: la comprensión; influir sobre el propio entorno; para participar y cooperar con os otros en las actividades humanas y aprender a ser. El significado y su implicancia de cada pilar en un proceso fundamental de la educación.</w:t>
      </w:r>
    </w:p>
    <w:p w:rsidR="00D559BF" w:rsidRPr="00D559BF" w:rsidRDefault="00D559BF" w:rsidP="00D559BF">
      <w:pPr>
        <w:pStyle w:val="NormalWeb"/>
        <w:shd w:val="clear" w:color="auto" w:fill="FFFFFF"/>
        <w:spacing w:before="0" w:beforeAutospacing="0" w:after="240" w:afterAutospacing="0"/>
        <w:jc w:val="both"/>
        <w:textAlignment w:val="baseline"/>
        <w:rPr>
          <w:color w:val="666666"/>
          <w:szCs w:val="27"/>
        </w:rPr>
      </w:pPr>
      <w:r w:rsidRPr="00D559BF">
        <w:rPr>
          <w:color w:val="666666"/>
          <w:szCs w:val="27"/>
        </w:rPr>
        <w:t>Los padres de familia y los profesores necesitan perseverancia, esfuerzo, colaboración y compromiso “para lograr el desarrollo de éstos cuatro pilares de la educación” y se hace necesario “el docente los ponga en práctica personalmente, puesto que no se puede dar lo que no se tiene, por eso es necesaria una reorientación de la función docente a partir de éstos pilares, para poderlos desarrollar en los alumnos. Los padres requieren conocer también éstos pilares y en qué medida contribuyen a cada uno de éstos desde la familia”, afirma la pedagoga Félix de la Riva.</w:t>
      </w:r>
    </w:p>
    <w:p w:rsidR="00D559BF" w:rsidRPr="00D559BF" w:rsidRDefault="00D559BF" w:rsidP="00D559BF">
      <w:pPr>
        <w:pStyle w:val="NormalWeb"/>
        <w:shd w:val="clear" w:color="auto" w:fill="FFFFFF"/>
        <w:spacing w:before="0" w:beforeAutospacing="0" w:after="240" w:afterAutospacing="0"/>
        <w:jc w:val="both"/>
        <w:textAlignment w:val="baseline"/>
        <w:rPr>
          <w:color w:val="666666"/>
          <w:szCs w:val="27"/>
        </w:rPr>
      </w:pPr>
      <w:r w:rsidRPr="00D559BF">
        <w:rPr>
          <w:color w:val="666666"/>
          <w:szCs w:val="27"/>
        </w:rPr>
        <w:t>¿Intentamos una educación que se adelante a los desafíos de mañana? ¿Sabemos que para aprender a aprender necesitamos desarrollar la atención, la memoria y el pensamiento? ¿Cómo logramos el autoconocimiento, para responder de manera autónoma, justa y responsable a las exigencias y experiencias de vida?</w:t>
      </w:r>
    </w:p>
    <w:p w:rsidR="00D559BF" w:rsidRPr="00D559BF" w:rsidRDefault="00D559BF" w:rsidP="00D559BF">
      <w:pPr>
        <w:pStyle w:val="NormalWeb"/>
        <w:shd w:val="clear" w:color="auto" w:fill="FFFFFF"/>
        <w:spacing w:before="0" w:beforeAutospacing="0" w:after="240" w:afterAutospacing="0"/>
        <w:jc w:val="both"/>
        <w:textAlignment w:val="baseline"/>
        <w:rPr>
          <w:color w:val="666666"/>
          <w:szCs w:val="27"/>
        </w:rPr>
      </w:pPr>
      <w:r w:rsidRPr="00D559BF">
        <w:rPr>
          <w:color w:val="666666"/>
          <w:szCs w:val="27"/>
        </w:rPr>
        <w:t>La educación deberá transmitir, masiva y eficazmente, un volumen cada vez mayor de conocimientos teóricos y técnicos evolutivos, adaptados a la civilización cognoscitiva, porque son las bases de las competencias del futuro. Simultáneamente, deberá hallar y definir orientaciones que permitan no dejarse sumergir por las corrientes de informaciones más o menos efímeras que invaden los espacios públicos y privados y conservar el rumbo en proyectos de desarrollo individuales y colectivos. En cierto sentido, la educación se ve obligada a proporcionar las cartas náuticas de un mundo complejo y en perpetua agitación y, al mismo tiempo, la brújula para poder navegar por él.</w:t>
      </w:r>
    </w:p>
    <w:p w:rsidR="00D559BF" w:rsidRPr="00D559BF" w:rsidRDefault="00D559BF" w:rsidP="00D559BF">
      <w:pPr>
        <w:pStyle w:val="NormalWeb"/>
        <w:shd w:val="clear" w:color="auto" w:fill="FFFFFF"/>
        <w:spacing w:before="0" w:beforeAutospacing="0" w:after="240" w:afterAutospacing="0"/>
        <w:jc w:val="both"/>
        <w:textAlignment w:val="baseline"/>
        <w:rPr>
          <w:color w:val="666666"/>
          <w:szCs w:val="27"/>
        </w:rPr>
      </w:pPr>
      <w:r w:rsidRPr="00D559BF">
        <w:rPr>
          <w:color w:val="666666"/>
          <w:szCs w:val="27"/>
        </w:rPr>
        <w:t>Para cumplir el conjunto de las misiones que le son propias, la educación debe estructurarse en torno a cuatro aprendizajes fundamentales que en el transcurso de la vida serán para cada persona, en cierto sentido, los pilares del conocimiento: aprender a conocer, es decir, adquirir los instrumentos de la comprensión; aprender a hacer, para poder influir sobre el propio entorno; aprender a vivir juntos, para participar y cooperar con los demás en todas las actividades humanas; por último, aprender a ser, un proceso fundamental que recoge elementos de los tres anteriores. Por supuesto, es- tas cuatro vías del saber convergen en una sola, ya que hay entre ellas múltiples puntos de contacto, coincidencia e intercambio.</w:t>
      </w:r>
    </w:p>
    <w:p w:rsidR="00D559BF" w:rsidRDefault="00D559BF" w:rsidP="00D559BF">
      <w:pPr>
        <w:pStyle w:val="NormalWeb"/>
        <w:shd w:val="clear" w:color="auto" w:fill="FFFFFF"/>
        <w:spacing w:before="0" w:beforeAutospacing="0" w:after="240" w:afterAutospacing="0" w:line="384" w:lineRule="atLeast"/>
        <w:textAlignment w:val="baseline"/>
        <w:rPr>
          <w:rFonts w:ascii="Arial" w:hAnsi="Arial" w:cs="Arial"/>
          <w:color w:val="666666"/>
          <w:sz w:val="27"/>
          <w:szCs w:val="27"/>
        </w:rPr>
      </w:pPr>
    </w:p>
    <w:p w:rsidR="00D559BF" w:rsidRDefault="00D559BF" w:rsidP="00D559BF">
      <w:pPr>
        <w:pStyle w:val="NormalWeb"/>
        <w:shd w:val="clear" w:color="auto" w:fill="FFFFFF"/>
        <w:spacing w:before="0" w:beforeAutospacing="0" w:after="240" w:afterAutospacing="0" w:line="384" w:lineRule="atLeast"/>
        <w:textAlignment w:val="baseline"/>
        <w:rPr>
          <w:rFonts w:ascii="Arial" w:hAnsi="Arial" w:cs="Arial"/>
          <w:color w:val="666666"/>
          <w:sz w:val="27"/>
          <w:szCs w:val="27"/>
        </w:rPr>
      </w:pPr>
      <w:r>
        <w:rPr>
          <w:rFonts w:ascii="Arial" w:hAnsi="Arial" w:cs="Arial"/>
          <w:color w:val="666666"/>
          <w:sz w:val="27"/>
          <w:szCs w:val="27"/>
        </w:rPr>
        <w:lastRenderedPageBreak/>
        <w:t> </w:t>
      </w:r>
    </w:p>
    <w:p w:rsidR="00D559BF" w:rsidRDefault="00D559BF" w:rsidP="00D559BF">
      <w:pPr>
        <w:pStyle w:val="Ttulo2"/>
        <w:shd w:val="clear" w:color="auto" w:fill="FFFFFF"/>
        <w:spacing w:before="0" w:beforeAutospacing="0" w:after="210" w:afterAutospacing="0"/>
        <w:textAlignment w:val="baseline"/>
        <w:rPr>
          <w:rFonts w:ascii="inherit" w:hAnsi="inherit" w:cs="Arial"/>
          <w:b w:val="0"/>
          <w:bCs w:val="0"/>
          <w:color w:val="444444"/>
          <w:spacing w:val="-11"/>
          <w:sz w:val="58"/>
          <w:szCs w:val="58"/>
        </w:rPr>
      </w:pPr>
      <w:r>
        <w:rPr>
          <w:rFonts w:ascii="inherit" w:hAnsi="inherit" w:cs="Arial"/>
          <w:b w:val="0"/>
          <w:bCs w:val="0"/>
          <w:color w:val="444444"/>
          <w:spacing w:val="-11"/>
          <w:sz w:val="58"/>
          <w:szCs w:val="58"/>
        </w:rPr>
        <w:t> </w:t>
      </w:r>
      <w:r w:rsidRPr="00D559BF">
        <w:rPr>
          <w:rFonts w:ascii="inherit" w:hAnsi="inherit" w:cs="Arial"/>
          <w:b w:val="0"/>
          <w:bCs w:val="0"/>
          <w:color w:val="444444"/>
          <w:spacing w:val="-11"/>
          <w:sz w:val="40"/>
          <w:szCs w:val="58"/>
        </w:rPr>
        <w:t>APRENDER A CONOCER</w:t>
      </w:r>
    </w:p>
    <w:p w:rsidR="00D559BF" w:rsidRPr="00D559BF" w:rsidRDefault="00D559BF" w:rsidP="00D559BF">
      <w:pPr>
        <w:pStyle w:val="NormalWeb"/>
        <w:shd w:val="clear" w:color="auto" w:fill="FFFFFF"/>
        <w:spacing w:before="0" w:beforeAutospacing="0" w:after="240" w:afterAutospacing="0"/>
        <w:textAlignment w:val="baseline"/>
        <w:rPr>
          <w:color w:val="666666"/>
          <w:szCs w:val="27"/>
        </w:rPr>
      </w:pPr>
      <w:r w:rsidRPr="00D559BF">
        <w:rPr>
          <w:color w:val="666666"/>
          <w:szCs w:val="27"/>
        </w:rPr>
        <w:t>Este punto habla de la adquisición del conocimiento clasificado y codificado de los instrumentos mismos del saber, y consiste en que cada persona en aprender a comprender el mundo que nos rodea, para vivir con dignidad, desarrollar sus capacidades y comunicarse con los demás. Pues es el placer de comprender, de conocer, de descubrir. El incremento del comprender mejor las múltiples facetas del propio entorno, favorece el despertar de la curiosidad elemental intelectual.</w:t>
      </w:r>
    </w:p>
    <w:p w:rsidR="00D559BF" w:rsidRDefault="00D559BF" w:rsidP="00D559BF">
      <w:pPr>
        <w:pStyle w:val="NormalWeb"/>
        <w:shd w:val="clear" w:color="auto" w:fill="FFFFFF"/>
        <w:spacing w:before="0" w:beforeAutospacing="0" w:after="240" w:afterAutospacing="0"/>
        <w:textAlignment w:val="baseline"/>
        <w:rPr>
          <w:color w:val="666666"/>
          <w:szCs w:val="27"/>
        </w:rPr>
      </w:pPr>
      <w:r w:rsidRPr="00D559BF">
        <w:rPr>
          <w:color w:val="666666"/>
          <w:szCs w:val="27"/>
        </w:rPr>
        <w:t>En los niveles de enseñanza secundaria y superior, la formación inicial debe proporcionar a todos los alumnos los instrumentos, conceptos y modos de referencia resultantes del progreso científico y de los paradigmas de la época.</w:t>
      </w:r>
    </w:p>
    <w:p w:rsidR="00D559BF" w:rsidRPr="00D559BF" w:rsidRDefault="00D559BF" w:rsidP="00D559BF">
      <w:pPr>
        <w:pStyle w:val="NormalWeb"/>
        <w:shd w:val="clear" w:color="auto" w:fill="FFFFFF"/>
        <w:spacing w:before="0" w:beforeAutospacing="0" w:after="240" w:afterAutospacing="0"/>
        <w:textAlignment w:val="baseline"/>
        <w:rPr>
          <w:color w:val="666666"/>
          <w:szCs w:val="27"/>
        </w:rPr>
      </w:pPr>
      <w:r w:rsidRPr="00D559BF">
        <w:rPr>
          <w:color w:val="666666"/>
          <w:szCs w:val="27"/>
        </w:rPr>
        <w:t>Aprender para conocer supone, en primer término, aprender a aprender, ejercitando la atención, la memoria y el pensamiento. Desde la infancia, sobre todo en las sociedades dominadas por la imagen televisiva, el joven debe aprender a concentrar su atención en las cosas y las personas. La vertiginosa sucesión de informaciones en los medios de comunicación y el frecuente cambio de canal de televisión, atentan contra el proceso de descubrimiento, que requiere una permanencia y una profundización de la información captada. Este aprendizaje de la atención puede adoptar formas diversas y sacar provecho de múltiples ocasiones de la vida (juegos, visitas a empresas, viajes, trabajos prácticos, asignaturas científicas, etcétera).</w:t>
      </w:r>
    </w:p>
    <w:p w:rsidR="00D559BF" w:rsidRPr="00D559BF" w:rsidRDefault="00D559BF" w:rsidP="00D559BF">
      <w:pPr>
        <w:pStyle w:val="Ttulo2"/>
        <w:shd w:val="clear" w:color="auto" w:fill="FFFFFF"/>
        <w:spacing w:before="0" w:beforeAutospacing="0" w:after="210" w:afterAutospacing="0"/>
        <w:textAlignment w:val="baseline"/>
        <w:rPr>
          <w:rFonts w:ascii="inherit" w:hAnsi="inherit" w:cs="Arial"/>
          <w:b w:val="0"/>
          <w:bCs w:val="0"/>
          <w:color w:val="444444"/>
          <w:spacing w:val="-11"/>
          <w:sz w:val="40"/>
          <w:szCs w:val="58"/>
        </w:rPr>
      </w:pPr>
      <w:r w:rsidRPr="00D559BF">
        <w:rPr>
          <w:rFonts w:ascii="inherit" w:hAnsi="inherit" w:cs="Arial"/>
          <w:b w:val="0"/>
          <w:bCs w:val="0"/>
          <w:color w:val="444444"/>
          <w:spacing w:val="-11"/>
          <w:sz w:val="40"/>
          <w:szCs w:val="58"/>
        </w:rPr>
        <w:t>APRENDER A HACER</w:t>
      </w:r>
    </w:p>
    <w:p w:rsidR="00D559BF" w:rsidRPr="00D559BF" w:rsidRDefault="00D559BF" w:rsidP="00D559BF">
      <w:pPr>
        <w:pStyle w:val="NormalWeb"/>
        <w:shd w:val="clear" w:color="auto" w:fill="FFFFFF"/>
        <w:spacing w:before="0" w:beforeAutospacing="0" w:after="240" w:afterAutospacing="0"/>
        <w:textAlignment w:val="baseline"/>
        <w:rPr>
          <w:color w:val="666666"/>
          <w:szCs w:val="27"/>
        </w:rPr>
      </w:pPr>
      <w:r w:rsidRPr="00D559BF">
        <w:rPr>
          <w:color w:val="666666"/>
          <w:szCs w:val="27"/>
        </w:rPr>
        <w:t>Aprender a conocer y aprender a hacer son, en gran medida, indisociables. Pero lo segundo está más estrechamente vinculado a la cuestión de la formación profesional.</w:t>
      </w:r>
    </w:p>
    <w:p w:rsidR="00D559BF" w:rsidRPr="00D559BF" w:rsidRDefault="00D559BF" w:rsidP="00D559BF">
      <w:pPr>
        <w:pStyle w:val="NormalWeb"/>
        <w:shd w:val="clear" w:color="auto" w:fill="FFFFFF"/>
        <w:spacing w:before="0" w:beforeAutospacing="0" w:after="240" w:afterAutospacing="0"/>
        <w:textAlignment w:val="baseline"/>
        <w:rPr>
          <w:color w:val="666666"/>
          <w:szCs w:val="27"/>
        </w:rPr>
      </w:pPr>
      <w:r w:rsidRPr="00D559BF">
        <w:rPr>
          <w:color w:val="666666"/>
          <w:szCs w:val="27"/>
        </w:rPr>
        <w:t>Los aprendizajes deben de evolucionar y ya no pueden considerarse mera transmisión de prácticas más o menos rutinarias, aunque éstas conserven un valor formativo que no debemos desestimar.</w:t>
      </w:r>
    </w:p>
    <w:p w:rsidR="00D559BF" w:rsidRPr="00D559BF" w:rsidRDefault="00D559BF" w:rsidP="00D559BF">
      <w:pPr>
        <w:pStyle w:val="NormalWeb"/>
        <w:shd w:val="clear" w:color="auto" w:fill="FFFFFF"/>
        <w:spacing w:before="0" w:beforeAutospacing="0" w:after="240" w:afterAutospacing="0"/>
        <w:textAlignment w:val="baseline"/>
        <w:rPr>
          <w:color w:val="666666"/>
          <w:szCs w:val="27"/>
        </w:rPr>
      </w:pPr>
      <w:r w:rsidRPr="00D559BF">
        <w:rPr>
          <w:color w:val="666666"/>
          <w:szCs w:val="27"/>
        </w:rPr>
        <w:t>El dominio de las dimensiones cognoscitiva e informativa en los sistemas de producción industrial vuelve algo caduca la noción de calificación al, entre otros en el caso de los operarios y los técnicos, y tiende a privilegiar la de competencia personal.</w:t>
      </w:r>
    </w:p>
    <w:p w:rsidR="00D559BF" w:rsidRPr="00D559BF" w:rsidRDefault="00D559BF" w:rsidP="00D559BF">
      <w:pPr>
        <w:pStyle w:val="NormalWeb"/>
        <w:shd w:val="clear" w:color="auto" w:fill="FFFFFF"/>
        <w:spacing w:before="0" w:beforeAutospacing="0" w:after="240" w:afterAutospacing="0"/>
        <w:textAlignment w:val="baseline"/>
        <w:rPr>
          <w:color w:val="666666"/>
          <w:szCs w:val="27"/>
        </w:rPr>
      </w:pPr>
      <w:r w:rsidRPr="00D559BF">
        <w:rPr>
          <w:color w:val="666666"/>
          <w:szCs w:val="27"/>
        </w:rPr>
        <w:t>La yuxtaposición de las tareas obligadas y del trabajo fragmentado cede ante una organización en “colectivos de trabajo” o “grupos de proyecto”, siguiendo las prácticas de las empresas japonesas: una especie de taylorismo al revés.</w:t>
      </w:r>
    </w:p>
    <w:p w:rsidR="00D559BF" w:rsidRPr="00D559BF" w:rsidRDefault="00D559BF" w:rsidP="00D559BF">
      <w:pPr>
        <w:pStyle w:val="NormalWeb"/>
        <w:shd w:val="clear" w:color="auto" w:fill="FFFFFF"/>
        <w:spacing w:before="0" w:beforeAutospacing="0" w:after="240" w:afterAutospacing="0"/>
        <w:textAlignment w:val="baseline"/>
        <w:rPr>
          <w:color w:val="666666"/>
          <w:szCs w:val="27"/>
        </w:rPr>
      </w:pPr>
      <w:r w:rsidRPr="00D559BF">
        <w:rPr>
          <w:color w:val="666666"/>
          <w:szCs w:val="27"/>
        </w:rPr>
        <w:t>Muchos servicios se definen principalmente en función de la relación interpersonal que generan. Podemos citar ejemplos tanto en el sector comercial (peritajes de todo tipo, servicios de supervisión o de asesoramiento tecnológico, servicios financieros, contables o administrativos) que prolifera nutriéndose de la creciente complejidad de las economías, como en el sector no comercial más tradicional (servicios sociales, de enseñanza, de sanidad, etcétera).</w:t>
      </w:r>
    </w:p>
    <w:p w:rsidR="00D559BF" w:rsidRPr="00D559BF" w:rsidRDefault="00D559BF" w:rsidP="00D559BF">
      <w:pPr>
        <w:pStyle w:val="NormalWeb"/>
        <w:shd w:val="clear" w:color="auto" w:fill="FFFFFF"/>
        <w:spacing w:before="0" w:beforeAutospacing="0" w:after="240" w:afterAutospacing="0"/>
        <w:textAlignment w:val="baseline"/>
        <w:rPr>
          <w:color w:val="666666"/>
          <w:szCs w:val="27"/>
        </w:rPr>
      </w:pPr>
      <w:r w:rsidRPr="00D559BF">
        <w:rPr>
          <w:color w:val="666666"/>
          <w:szCs w:val="27"/>
        </w:rPr>
        <w:t>La relación con la materia y la técnica debe ser complementada por una aptitud para las relaciones interpersonales. El desarrollo de los servicios obliga, pues, a cultiva cualidades humanas que las formaciones tradicionales no siempre inculcan y que corresponden a la capacidad de establecer relaciones estables y eficaces entre las personas.</w:t>
      </w:r>
    </w:p>
    <w:p w:rsidR="00D559BF" w:rsidRPr="00D559BF" w:rsidRDefault="00D559BF" w:rsidP="00D559BF">
      <w:pPr>
        <w:pStyle w:val="NormalWeb"/>
        <w:shd w:val="clear" w:color="auto" w:fill="FFFFFF"/>
        <w:spacing w:before="0" w:beforeAutospacing="0" w:after="240" w:afterAutospacing="0"/>
        <w:textAlignment w:val="baseline"/>
        <w:rPr>
          <w:color w:val="666666"/>
          <w:szCs w:val="27"/>
        </w:rPr>
      </w:pPr>
      <w:r w:rsidRPr="00D559BF">
        <w:rPr>
          <w:color w:val="666666"/>
          <w:szCs w:val="27"/>
        </w:rPr>
        <w:t xml:space="preserve">No existe ninguna función referencia1 laboral; los conocimientos técnicos suelen ser de tipo tradicional. Además, la función del aprendizaje no se limita al trabajo, sino que debe satisfacer el objetivo más amplio de </w:t>
      </w:r>
      <w:r w:rsidRPr="00D559BF">
        <w:rPr>
          <w:color w:val="666666"/>
          <w:szCs w:val="27"/>
        </w:rPr>
        <w:lastRenderedPageBreak/>
        <w:t>una participación en el desarrollo dentro de los sectores estructurado o no estructurado de la economía. A menudo, se trata de adquirir a la vez una calificación social y una formación profesional.</w:t>
      </w:r>
    </w:p>
    <w:p w:rsidR="00D559BF" w:rsidRPr="00D559BF" w:rsidRDefault="00D559BF" w:rsidP="00D559BF">
      <w:pPr>
        <w:pStyle w:val="Ttulo2"/>
        <w:shd w:val="clear" w:color="auto" w:fill="FFFFFF"/>
        <w:spacing w:before="0" w:beforeAutospacing="0" w:after="210" w:afterAutospacing="0"/>
        <w:textAlignment w:val="baseline"/>
        <w:rPr>
          <w:rFonts w:ascii="inherit" w:hAnsi="inherit" w:cs="Arial"/>
          <w:b w:val="0"/>
          <w:bCs w:val="0"/>
          <w:color w:val="444444"/>
          <w:spacing w:val="-11"/>
          <w:sz w:val="40"/>
          <w:szCs w:val="58"/>
        </w:rPr>
      </w:pPr>
      <w:r w:rsidRPr="00D559BF">
        <w:rPr>
          <w:rFonts w:ascii="inherit" w:hAnsi="inherit" w:cs="Arial"/>
          <w:b w:val="0"/>
          <w:bCs w:val="0"/>
          <w:color w:val="444444"/>
          <w:spacing w:val="-11"/>
          <w:sz w:val="40"/>
          <w:szCs w:val="58"/>
        </w:rPr>
        <w:t>APRENDER A VIVIR JUNTOS</w:t>
      </w:r>
    </w:p>
    <w:p w:rsidR="00D559BF" w:rsidRPr="00D559BF" w:rsidRDefault="00D559BF" w:rsidP="00D559BF">
      <w:pPr>
        <w:pStyle w:val="NormalWeb"/>
        <w:shd w:val="clear" w:color="auto" w:fill="FFFFFF"/>
        <w:spacing w:before="0" w:beforeAutospacing="0" w:after="240" w:afterAutospacing="0"/>
        <w:textAlignment w:val="baseline"/>
        <w:rPr>
          <w:color w:val="666666"/>
          <w:szCs w:val="27"/>
        </w:rPr>
      </w:pPr>
      <w:r w:rsidRPr="00D559BF">
        <w:rPr>
          <w:color w:val="666666"/>
          <w:szCs w:val="27"/>
        </w:rPr>
        <w:t>Este punto trata de la violencia impera en el mundo contradice la esperanza que algunos habían depositado en el progreso de la humanidad. La historia humana siempre ha sido conflictiva, A través de los medios de comunicación masiva, la opinión pública se convierte en observadora impotente, y hasta en rehén, de quienes generan o mantienen vivos los conflictos.</w:t>
      </w:r>
    </w:p>
    <w:p w:rsidR="00D559BF" w:rsidRPr="00D559BF" w:rsidRDefault="00D559BF" w:rsidP="00D559BF">
      <w:pPr>
        <w:pStyle w:val="NormalWeb"/>
        <w:shd w:val="clear" w:color="auto" w:fill="FFFFFF"/>
        <w:spacing w:before="0" w:beforeAutospacing="0" w:after="240" w:afterAutospacing="0"/>
        <w:textAlignment w:val="baseline"/>
        <w:rPr>
          <w:color w:val="666666"/>
          <w:szCs w:val="27"/>
        </w:rPr>
      </w:pPr>
      <w:r w:rsidRPr="00D559BF">
        <w:rPr>
          <w:color w:val="666666"/>
          <w:szCs w:val="27"/>
        </w:rPr>
        <w:t>La idea de enseñar la no violencia en la escuela es loable, aunque sólo sea un instrumento entre varios para combatir los prejuicios que llevan al enfrentamiento. Es una tarea ardua, ya que, como es natural, los seres humanos tienden a valorar en exceso sus cualidades y las del grupo al que pertenecen y a alimentar prejuicios desfavorables hacia los demás.</w:t>
      </w:r>
    </w:p>
    <w:p w:rsidR="00D559BF" w:rsidRPr="00D559BF" w:rsidRDefault="00D559BF" w:rsidP="00D559BF">
      <w:pPr>
        <w:pStyle w:val="NormalWeb"/>
        <w:shd w:val="clear" w:color="auto" w:fill="FFFFFF"/>
        <w:spacing w:before="0" w:beforeAutospacing="0" w:after="240" w:afterAutospacing="0"/>
        <w:textAlignment w:val="baseline"/>
        <w:rPr>
          <w:color w:val="666666"/>
          <w:szCs w:val="27"/>
        </w:rPr>
      </w:pPr>
      <w:r w:rsidRPr="00D559BF">
        <w:rPr>
          <w:color w:val="666666"/>
          <w:szCs w:val="27"/>
        </w:rPr>
        <w:t>La educación tiene una doble misión: enseñar la diversidad de la especie humana y contribuir a una toma de conciencia de las semejanzas y la interdependencia entre todos los seres humanos. Desde la primera infancia, la escuela debe, pues, aprovechar todas las oportunidades que se presenten para esa doble enseñanza. Algunas disciplinas se prestan particularmente a hacerlo, como la geografía humana desde la enseñanza primaria y, más tarde, los idiomas y literaturas extranjeros.</w:t>
      </w:r>
    </w:p>
    <w:p w:rsidR="00D559BF" w:rsidRPr="00D559BF" w:rsidRDefault="00D559BF" w:rsidP="00D559BF">
      <w:pPr>
        <w:pStyle w:val="NormalWeb"/>
        <w:shd w:val="clear" w:color="auto" w:fill="FFFFFF"/>
        <w:spacing w:before="0" w:beforeAutospacing="0" w:after="240" w:afterAutospacing="0"/>
        <w:textAlignment w:val="baseline"/>
        <w:rPr>
          <w:color w:val="666666"/>
          <w:szCs w:val="27"/>
        </w:rPr>
      </w:pPr>
      <w:r w:rsidRPr="00D559BF">
        <w:rPr>
          <w:color w:val="666666"/>
          <w:szCs w:val="27"/>
        </w:rPr>
        <w:t>Cuando se trabaja mancomunadamente en proyectos motivadores que permiten escapar a la rutina, disminuyen y a veces hasta desaparecen las diferencias -e incluso los conflictos-entre los individuos. Esos proyectos que permiten superar los hábitos individuales y valoran los puntos de convergencia por encima de los aspectos que separan, dan origen a un nuevo modo de identificación.</w:t>
      </w:r>
    </w:p>
    <w:p w:rsidR="00D559BF" w:rsidRPr="00D559BF" w:rsidRDefault="00D559BF" w:rsidP="00D559BF">
      <w:pPr>
        <w:pStyle w:val="Ttulo2"/>
        <w:shd w:val="clear" w:color="auto" w:fill="FFFFFF"/>
        <w:spacing w:before="0" w:beforeAutospacing="0" w:after="210" w:afterAutospacing="0" w:line="312" w:lineRule="atLeast"/>
        <w:textAlignment w:val="baseline"/>
        <w:rPr>
          <w:rFonts w:ascii="inherit" w:hAnsi="inherit" w:cs="Arial"/>
          <w:b w:val="0"/>
          <w:bCs w:val="0"/>
          <w:color w:val="444444"/>
          <w:spacing w:val="-11"/>
          <w:sz w:val="40"/>
          <w:szCs w:val="58"/>
        </w:rPr>
      </w:pPr>
      <w:r w:rsidRPr="00D559BF">
        <w:rPr>
          <w:rFonts w:ascii="inherit" w:hAnsi="inherit" w:cs="Arial"/>
          <w:b w:val="0"/>
          <w:bCs w:val="0"/>
          <w:color w:val="444444"/>
          <w:spacing w:val="-11"/>
          <w:sz w:val="40"/>
          <w:szCs w:val="58"/>
        </w:rPr>
        <w:t>APRENDER A SER</w:t>
      </w:r>
    </w:p>
    <w:p w:rsidR="00D559BF" w:rsidRPr="00D559BF" w:rsidRDefault="00D559BF" w:rsidP="00D559BF">
      <w:pPr>
        <w:pStyle w:val="NormalWeb"/>
        <w:shd w:val="clear" w:color="auto" w:fill="FFFFFF"/>
        <w:spacing w:before="0" w:beforeAutospacing="0" w:after="240" w:afterAutospacing="0"/>
        <w:textAlignment w:val="baseline"/>
        <w:rPr>
          <w:color w:val="666666"/>
          <w:szCs w:val="27"/>
        </w:rPr>
      </w:pPr>
      <w:r w:rsidRPr="00D559BF">
        <w:rPr>
          <w:color w:val="666666"/>
          <w:szCs w:val="27"/>
        </w:rPr>
        <w:t>El informe Aprender a ser manifestaba en su preámbulo el temor a una des humanización del mundo vinculada a la evolución tecnológica. La evolución general de las sociedades desde entonces y, entre otras cosas, el formidable poder adquirido por los medios de comunicación masiva, ha agudizado ese temor y dado más legitimidad a la advertencia que suscitó.</w:t>
      </w:r>
    </w:p>
    <w:p w:rsidR="00D559BF" w:rsidRPr="00D559BF" w:rsidRDefault="00D559BF" w:rsidP="00D559BF">
      <w:pPr>
        <w:pStyle w:val="NormalWeb"/>
        <w:shd w:val="clear" w:color="auto" w:fill="FFFFFF"/>
        <w:spacing w:before="0" w:beforeAutospacing="0" w:after="240" w:afterAutospacing="0"/>
        <w:textAlignment w:val="baseline"/>
        <w:rPr>
          <w:color w:val="666666"/>
          <w:szCs w:val="27"/>
        </w:rPr>
      </w:pPr>
      <w:r w:rsidRPr="00D559BF">
        <w:rPr>
          <w:color w:val="666666"/>
          <w:szCs w:val="27"/>
        </w:rPr>
        <w:t>La función esencial de la educación es conferir a todos los seres humanos la libertad de pensamiento, de juicio, de sentimientos y de imaginación que necesitan para que sus talentos alcancen la plenitud y seguir siendo artífices, en la medida de lo posible, de su destino.</w:t>
      </w:r>
    </w:p>
    <w:p w:rsidR="00D559BF" w:rsidRPr="00D559BF" w:rsidRDefault="00D559BF" w:rsidP="00D559BF">
      <w:pPr>
        <w:pStyle w:val="NormalWeb"/>
        <w:shd w:val="clear" w:color="auto" w:fill="FFFFFF"/>
        <w:spacing w:before="0" w:beforeAutospacing="0" w:after="240" w:afterAutospacing="0"/>
        <w:textAlignment w:val="baseline"/>
        <w:rPr>
          <w:color w:val="666666"/>
          <w:szCs w:val="27"/>
        </w:rPr>
      </w:pPr>
      <w:r w:rsidRPr="00D559BF">
        <w:rPr>
          <w:color w:val="666666"/>
          <w:szCs w:val="27"/>
        </w:rPr>
        <w:t>En la escuela, el arte y la poesía deberían recuperar un lugar más importante que el que les concede, en muchos países, una enseñanza interesada en lo utilitario más que en lo cultural. El afán de fomentarla imaginación y la creatividad debería también llevar a re valorar la cultura oral y los conocimientos extraídos de la experiencia del niño o del adulto.</w:t>
      </w:r>
    </w:p>
    <w:p w:rsidR="00D559BF" w:rsidRPr="00D559BF" w:rsidRDefault="00D559BF" w:rsidP="00D559BF">
      <w:pPr>
        <w:pStyle w:val="NormalWeb"/>
        <w:shd w:val="clear" w:color="auto" w:fill="FFFFFF"/>
        <w:spacing w:before="0" w:beforeAutospacing="0" w:after="240" w:afterAutospacing="0"/>
        <w:textAlignment w:val="baseline"/>
        <w:rPr>
          <w:color w:val="666666"/>
          <w:szCs w:val="27"/>
        </w:rPr>
      </w:pPr>
      <w:r w:rsidRPr="00D559BF">
        <w:rPr>
          <w:color w:val="666666"/>
          <w:szCs w:val="27"/>
        </w:rPr>
        <w:t>Aprender a ser: El desarrollo tiene por objeto el despliegue completo del hombre en toda su riqueza y en la complejidad de sus expresiones y de sus compromisos; individuo, miembro de una familia y de una colectividad, ciudadano y productor, inventor de técnicas y creador de sueño.</w:t>
      </w:r>
    </w:p>
    <w:p w:rsidR="0069339C" w:rsidRPr="00D559BF" w:rsidRDefault="0069339C">
      <w:pPr>
        <w:rPr>
          <w:lang w:val="es-AR"/>
        </w:rPr>
      </w:pPr>
    </w:p>
    <w:sectPr w:rsidR="0069339C" w:rsidRPr="00D559BF" w:rsidSect="00D559B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76D"/>
    <w:rsid w:val="0069339C"/>
    <w:rsid w:val="00C8376D"/>
    <w:rsid w:val="00D5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0E89C"/>
  <w15:chartTrackingRefBased/>
  <w15:docId w15:val="{8237DDCE-214D-4960-8F4A-4665D481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D559BF"/>
    <w:pPr>
      <w:spacing w:before="100" w:beforeAutospacing="1" w:after="100" w:afterAutospacing="1" w:line="240" w:lineRule="auto"/>
      <w:outlineLvl w:val="0"/>
    </w:pPr>
    <w:rPr>
      <w:rFonts w:ascii="Times New Roman" w:eastAsia="Times New Roman" w:hAnsi="Times New Roman" w:cs="Times New Roman"/>
      <w:b/>
      <w:bCs/>
      <w:kern w:val="36"/>
      <w:sz w:val="48"/>
      <w:szCs w:val="48"/>
      <w:lang w:val="es-AR" w:eastAsia="es-AR"/>
    </w:rPr>
  </w:style>
  <w:style w:type="paragraph" w:styleId="Ttulo2">
    <w:name w:val="heading 2"/>
    <w:basedOn w:val="Normal"/>
    <w:link w:val="Ttulo2Car"/>
    <w:uiPriority w:val="9"/>
    <w:qFormat/>
    <w:rsid w:val="00D559BF"/>
    <w:pPr>
      <w:spacing w:before="100" w:beforeAutospacing="1" w:after="100" w:afterAutospacing="1" w:line="240" w:lineRule="auto"/>
      <w:outlineLvl w:val="1"/>
    </w:pPr>
    <w:rPr>
      <w:rFonts w:ascii="Times New Roman" w:eastAsia="Times New Roman" w:hAnsi="Times New Roman" w:cs="Times New Roman"/>
      <w:b/>
      <w:bCs/>
      <w:sz w:val="36"/>
      <w:szCs w:val="36"/>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59BF"/>
    <w:rPr>
      <w:rFonts w:ascii="Times New Roman" w:eastAsia="Times New Roman" w:hAnsi="Times New Roman" w:cs="Times New Roman"/>
      <w:b/>
      <w:bCs/>
      <w:kern w:val="36"/>
      <w:sz w:val="48"/>
      <w:szCs w:val="48"/>
      <w:lang w:val="es-AR" w:eastAsia="es-AR"/>
    </w:rPr>
  </w:style>
  <w:style w:type="character" w:customStyle="1" w:styleId="Ttulo2Car">
    <w:name w:val="Título 2 Car"/>
    <w:basedOn w:val="Fuentedeprrafopredeter"/>
    <w:link w:val="Ttulo2"/>
    <w:uiPriority w:val="9"/>
    <w:rsid w:val="00D559BF"/>
    <w:rPr>
      <w:rFonts w:ascii="Times New Roman" w:eastAsia="Times New Roman" w:hAnsi="Times New Roman" w:cs="Times New Roman"/>
      <w:b/>
      <w:bCs/>
      <w:sz w:val="36"/>
      <w:szCs w:val="36"/>
      <w:lang w:val="es-AR" w:eastAsia="es-AR"/>
    </w:rPr>
  </w:style>
  <w:style w:type="paragraph" w:styleId="NormalWeb">
    <w:name w:val="Normal (Web)"/>
    <w:basedOn w:val="Normal"/>
    <w:uiPriority w:val="99"/>
    <w:semiHidden/>
    <w:unhideWhenUsed/>
    <w:rsid w:val="00D559BF"/>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Hipervnculo">
    <w:name w:val="Hyperlink"/>
    <w:basedOn w:val="Fuentedeprrafopredeter"/>
    <w:uiPriority w:val="99"/>
    <w:unhideWhenUsed/>
    <w:rsid w:val="00D559BF"/>
    <w:rPr>
      <w:color w:val="0563C1" w:themeColor="hyperlink"/>
      <w:u w:val="single"/>
    </w:rPr>
  </w:style>
  <w:style w:type="paragraph" w:customStyle="1" w:styleId="post-byline">
    <w:name w:val="post-byline"/>
    <w:basedOn w:val="Normal"/>
    <w:rsid w:val="00D559BF"/>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vcard">
    <w:name w:val="vcard"/>
    <w:basedOn w:val="Fuentedeprrafopredeter"/>
    <w:rsid w:val="00D559BF"/>
  </w:style>
  <w:style w:type="character" w:styleId="Textoennegrita">
    <w:name w:val="Strong"/>
    <w:basedOn w:val="Fuentedeprrafopredeter"/>
    <w:uiPriority w:val="22"/>
    <w:qFormat/>
    <w:rsid w:val="00D559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1642</Words>
  <Characters>9034</Characters>
  <Application>Microsoft Office Word</Application>
  <DocSecurity>0</DocSecurity>
  <Lines>75</Lines>
  <Paragraphs>21</Paragraphs>
  <ScaleCrop>false</ScaleCrop>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Olmos</dc:creator>
  <cp:keywords/>
  <dc:description/>
  <cp:lastModifiedBy>German Olmos</cp:lastModifiedBy>
  <cp:revision>2</cp:revision>
  <dcterms:created xsi:type="dcterms:W3CDTF">2025-03-27T13:21:00Z</dcterms:created>
  <dcterms:modified xsi:type="dcterms:W3CDTF">2025-03-27T13:25:00Z</dcterms:modified>
</cp:coreProperties>
</file>