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06"/>
        <w:ind w:left="-5"/>
        <w:rPr>
          <w:u w:val="single" w:color="000000"/>
          <w:lang w:val="es-AR"/>
        </w:rPr>
      </w:pPr>
      <w:r>
        <w:rPr>
          <w:u w:val="single" w:color="000000"/>
          <w:lang w:val="es-AR"/>
        </w:rPr>
        <w:t>CICLO LECTIVO 2025</w:t>
      </w:r>
    </w:p>
    <w:p>
      <w:pPr>
        <w:spacing w:after="106"/>
        <w:ind w:left="-5"/>
        <w:rPr>
          <w:lang w:val="es-AR"/>
        </w:rPr>
      </w:pPr>
      <w:r>
        <w:rPr>
          <w:u w:val="single" w:color="000000"/>
          <w:lang w:val="es-AR"/>
        </w:rPr>
        <w:t>DOCENTE</w:t>
      </w:r>
      <w:r>
        <w:rPr>
          <w:lang w:val="es-AR"/>
        </w:rPr>
        <w:t>: Jessica Cosma</w:t>
      </w:r>
    </w:p>
    <w:p>
      <w:pPr>
        <w:spacing w:after="106"/>
        <w:ind w:left="-5"/>
        <w:rPr>
          <w:lang w:val="es-AR"/>
        </w:rPr>
      </w:pPr>
      <w:r>
        <w:rPr>
          <w:u w:val="single" w:color="000000"/>
          <w:lang w:val="es-AR"/>
        </w:rPr>
        <w:t>CURSO Y DIV.</w:t>
      </w:r>
      <w:r>
        <w:rPr>
          <w:lang w:val="es-AR"/>
        </w:rPr>
        <w:t>: 3° “B”</w:t>
      </w:r>
    </w:p>
    <w:p>
      <w:pPr>
        <w:spacing w:after="106"/>
        <w:ind w:left="-5"/>
        <w:rPr>
          <w:lang w:val="es-AR"/>
        </w:rPr>
      </w:pPr>
      <w:r>
        <w:rPr>
          <w:u w:val="single" w:color="000000"/>
          <w:lang w:val="es-AR"/>
        </w:rPr>
        <w:t>ESPACIO CURRICULAR</w:t>
      </w:r>
      <w:r>
        <w:rPr>
          <w:lang w:val="es-AR"/>
        </w:rPr>
        <w:t>: Orientación y Tutoría.</w:t>
      </w:r>
    </w:p>
    <w:p>
      <w:pPr>
        <w:pStyle w:val="Textoindependiente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Unidad I. Rasgos de identidad del adolescente actual.</w:t>
      </w:r>
    </w:p>
    <w:p>
      <w:pPr>
        <w:pStyle w:val="Textoindependient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El Adolescente y su mundo. </w:t>
      </w:r>
    </w:p>
    <w:p>
      <w:pPr>
        <w:pStyle w:val="TableParagraph"/>
        <w:spacing w:before="23" w:line="276" w:lineRule="auto"/>
        <w:ind w:right="435"/>
        <w:jc w:val="both"/>
        <w:rPr>
          <w:rFonts w:asciiTheme="minorHAnsi" w:eastAsia="Times New Roman" w:hAnsiTheme="minorHAnsi" w:cstheme="minorHAnsi"/>
          <w:sz w:val="24"/>
          <w:szCs w:val="24"/>
          <w:lang w:val="es-AR"/>
        </w:rPr>
      </w:pPr>
      <w:r>
        <w:rPr>
          <w:rFonts w:asciiTheme="minorHAnsi" w:eastAsia="Times New Roman" w:hAnsiTheme="minorHAnsi" w:cstheme="minorHAnsi"/>
          <w:sz w:val="24"/>
          <w:szCs w:val="24"/>
          <w:lang w:val="es-AR"/>
        </w:rPr>
        <w:t xml:space="preserve">Me conozco. La adolescencia una etapa decisiva. Tu carácter tu personalidad. Las prácticas para manejar el enojo. Nos vemos iguales. Diferentes en sexo, iguales en dignidad. Trabajo integrador Unidad I: “El Mapa de mi Ser”.  </w:t>
      </w:r>
    </w:p>
    <w:p>
      <w:pPr>
        <w:rPr>
          <w:lang w:val="es-AR"/>
        </w:rPr>
      </w:pPr>
    </w:p>
    <w:p>
      <w:pPr>
        <w:pStyle w:val="Textoindependiente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Unidad II. El oficio de aprender en la nueva Escuela Secundaria Obligatoria. </w:t>
      </w:r>
    </w:p>
    <w:p>
      <w:pPr>
        <w:pStyle w:val="Textoindependient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Aprender a estudiar.</w:t>
      </w:r>
    </w:p>
    <w:p>
      <w:pPr>
        <w:pStyle w:val="TableParagraph"/>
        <w:spacing w:before="23" w:line="276" w:lineRule="auto"/>
        <w:ind w:right="435"/>
        <w:jc w:val="both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Theme="minorHAnsi" w:eastAsia="Times New Roman" w:hAnsiTheme="minorHAnsi" w:cstheme="minorHAnsi"/>
          <w:sz w:val="24"/>
          <w:szCs w:val="24"/>
          <w:lang w:val="es-AR" w:eastAsia="es-ES"/>
        </w:rPr>
        <w:t>Cuestionario: Inventario de actitudes, hábitos y estrategias de estudio. Los hábitos. Las actitudes. Claves para el aprendizaje eficaz. Mis m</w:t>
      </w:r>
      <w:r>
        <w:rPr>
          <w:rFonts w:asciiTheme="minorHAnsi" w:hAnsiTheme="minorHAnsi" w:cstheme="minorHAnsi"/>
          <w:sz w:val="24"/>
          <w:szCs w:val="24"/>
          <w:lang w:val="es-AR"/>
        </w:rPr>
        <w:t>otivos: un buen inicio. Mensaje explícito y mensaje implícito. Todos tenemos más de un tipo de inteligencia. Inventario de inteligencias múltiples. Trabajo Integrador Unidad II: “El Reto de Estudio”.</w:t>
      </w:r>
    </w:p>
    <w:p>
      <w:pPr>
        <w:pStyle w:val="Textoindependiente"/>
        <w:rPr>
          <w:rFonts w:asciiTheme="minorHAnsi" w:hAnsiTheme="minorHAnsi" w:cstheme="minorHAnsi"/>
          <w:b/>
          <w:sz w:val="28"/>
          <w:szCs w:val="28"/>
        </w:rPr>
      </w:pPr>
    </w:p>
    <w:p>
      <w:pPr>
        <w:pStyle w:val="Textoindependiente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Unidad III. Adolescentes y proyecto de vida.</w:t>
      </w:r>
    </w:p>
    <w:p>
      <w:pPr>
        <w:pStyle w:val="Textoindependient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El adolescente y las elecciones educativas futuras.</w:t>
      </w:r>
    </w:p>
    <w:p>
      <w:pPr>
        <w:rPr>
          <w:rFonts w:asciiTheme="minorHAnsi" w:hAnsiTheme="minorHAnsi" w:cstheme="minorHAnsi"/>
          <w:sz w:val="22"/>
          <w:szCs w:val="24"/>
          <w:lang w:val="es-AR"/>
        </w:rPr>
      </w:pPr>
      <w:r>
        <w:rPr>
          <w:rFonts w:asciiTheme="minorHAnsi" w:hAnsiTheme="minorHAnsi" w:cstheme="minorHAnsi"/>
          <w:szCs w:val="24"/>
          <w:lang w:val="es-AR"/>
        </w:rPr>
        <w:t xml:space="preserve">Intencionalidad y objetivos del Ciclo Orientado de Educación Secundaria. Modalidades. Intereses y aptitudes. Mirando al futuro. Yo quiero ser. Carreras muchas y variadas. </w:t>
      </w:r>
      <w:r>
        <w:rPr>
          <w:rFonts w:asciiTheme="minorHAnsi" w:hAnsiTheme="minorHAnsi" w:cstheme="minorHAnsi"/>
          <w:sz w:val="22"/>
          <w:szCs w:val="24"/>
          <w:lang w:val="es-AR"/>
        </w:rPr>
        <w:t>Trabajo Integrador Unidad III.</w:t>
      </w:r>
    </w:p>
    <w:p>
      <w:pPr>
        <w:pStyle w:val="Textoindependiente"/>
        <w:rPr>
          <w:rFonts w:asciiTheme="minorHAnsi" w:hAnsiTheme="minorHAnsi" w:cstheme="minorHAnsi"/>
          <w:b/>
          <w:sz w:val="28"/>
          <w:szCs w:val="28"/>
        </w:rPr>
      </w:pPr>
    </w:p>
    <w:p>
      <w:pPr>
        <w:pStyle w:val="Textoindependiente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Unidad IV</w:t>
      </w:r>
      <w:r>
        <w:rPr>
          <w:rFonts w:asciiTheme="minorHAnsi" w:hAnsiTheme="minorHAnsi" w:cstheme="minorHAnsi"/>
          <w:b/>
          <w:sz w:val="28"/>
          <w:szCs w:val="28"/>
        </w:rPr>
        <w:t>. Adolescentes y habilidades para la vida.</w:t>
      </w:r>
    </w:p>
    <w:p>
      <w:pPr>
        <w:pStyle w:val="Textoindependient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Toma de decisiones.</w:t>
      </w:r>
    </w:p>
    <w:p>
      <w:pPr>
        <w:rPr>
          <w:rFonts w:asciiTheme="minorHAnsi" w:hAnsiTheme="minorHAnsi" w:cstheme="minorHAnsi"/>
          <w:szCs w:val="24"/>
          <w:lang w:val="es-AR"/>
        </w:rPr>
      </w:pPr>
      <w:r>
        <w:rPr>
          <w:rFonts w:asciiTheme="minorHAnsi" w:hAnsiTheme="minorHAnsi" w:cstheme="minorHAnsi"/>
          <w:szCs w:val="24"/>
          <w:lang w:val="es-AR"/>
        </w:rPr>
        <w:t>Aprendo a tomar decisiones. Resolución de problemas. Entrenamiento. Obstáculos.</w:t>
      </w:r>
      <w:r>
        <w:rPr>
          <w:rFonts w:asciiTheme="minorHAnsi" w:hAnsiTheme="minorHAnsi" w:cstheme="minorHAnsi"/>
          <w:szCs w:val="24"/>
          <w:lang w:val="es-AR"/>
        </w:rPr>
        <w:t xml:space="preserve"> Amistad. La relación de las personas en los grupos. Test de estilos de liderazgo. Guía para detectar la intolerancia en el aula. Competencias sociales. Trabajo integrador Unidad IV: “Creando un proyecto en grupo”.</w:t>
      </w:r>
    </w:p>
    <w:p>
      <w:pPr>
        <w:spacing w:after="0" w:line="259" w:lineRule="auto"/>
        <w:ind w:left="0" w:firstLine="0"/>
        <w:jc w:val="left"/>
        <w:rPr>
          <w:sz w:val="28"/>
          <w:szCs w:val="28"/>
          <w:lang w:val="es-AR"/>
        </w:rPr>
      </w:pPr>
      <w:bookmarkStart w:id="0" w:name="_GoBack"/>
      <w:bookmarkEnd w:id="0"/>
    </w:p>
    <w:p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  <w:r>
        <w:rPr>
          <w:color w:val="auto"/>
          <w:sz w:val="28"/>
          <w:szCs w:val="28"/>
          <w:lang w:val="es-AR"/>
        </w:rPr>
        <w:t>Criterios de Evaluación.</w:t>
      </w:r>
    </w:p>
    <w:p>
      <w:pPr>
        <w:numPr>
          <w:ilvl w:val="0"/>
          <w:numId w:val="5"/>
        </w:numPr>
        <w:spacing w:after="0" w:line="276" w:lineRule="auto"/>
        <w:rPr>
          <w:rFonts w:asciiTheme="minorHAnsi" w:hAnsiTheme="minorHAnsi" w:cstheme="minorHAnsi"/>
          <w:lang w:val="es-AR"/>
        </w:rPr>
      </w:pPr>
      <w:r>
        <w:rPr>
          <w:rFonts w:asciiTheme="minorHAnsi" w:hAnsiTheme="minorHAnsi" w:cstheme="minorHAnsi"/>
          <w:lang w:val="es-AR"/>
        </w:rPr>
        <w:t>Se evaluarán Conceptos, vocabulario específico, procedimientos y actitudes.</w:t>
      </w:r>
    </w:p>
    <w:p>
      <w:pPr>
        <w:numPr>
          <w:ilvl w:val="0"/>
          <w:numId w:val="5"/>
        </w:numPr>
        <w:spacing w:after="0" w:line="276" w:lineRule="auto"/>
        <w:rPr>
          <w:rFonts w:asciiTheme="minorHAnsi" w:hAnsiTheme="minorHAnsi" w:cstheme="minorHAnsi"/>
          <w:lang w:val="es-AR"/>
        </w:rPr>
      </w:pPr>
      <w:r>
        <w:rPr>
          <w:rFonts w:asciiTheme="minorHAnsi" w:hAnsiTheme="minorHAnsi" w:cstheme="minorHAnsi"/>
          <w:lang w:val="es-AR"/>
        </w:rPr>
        <w:t>La evaluación se realizará en forma oral o escrita. Aprobará con la calificación de 6 (seis).</w:t>
      </w:r>
    </w:p>
    <w:p>
      <w:pPr>
        <w:numPr>
          <w:ilvl w:val="0"/>
          <w:numId w:val="5"/>
        </w:numPr>
        <w:spacing w:after="0" w:line="276" w:lineRule="auto"/>
        <w:rPr>
          <w:rFonts w:asciiTheme="minorHAnsi" w:hAnsiTheme="minorHAnsi" w:cstheme="minorHAnsi"/>
          <w:lang w:val="es-AR"/>
        </w:rPr>
      </w:pPr>
      <w:r>
        <w:rPr>
          <w:rFonts w:asciiTheme="minorHAnsi" w:hAnsiTheme="minorHAnsi" w:cstheme="minorHAnsi"/>
          <w:lang w:val="es-AR"/>
        </w:rPr>
        <w:t>El alumno deberá presentar al momento del examen Cuadernillo completo personal, correspondiente al año de cursado.</w:t>
      </w:r>
    </w:p>
    <w:p>
      <w:pPr>
        <w:numPr>
          <w:ilvl w:val="0"/>
          <w:numId w:val="5"/>
        </w:numPr>
        <w:spacing w:after="0" w:line="276" w:lineRule="auto"/>
        <w:rPr>
          <w:rFonts w:asciiTheme="minorHAnsi" w:hAnsiTheme="minorHAnsi" w:cstheme="minorHAnsi"/>
          <w:lang w:val="es-AR"/>
        </w:rPr>
      </w:pPr>
      <w:r>
        <w:rPr>
          <w:rFonts w:asciiTheme="minorHAnsi" w:hAnsiTheme="minorHAnsi" w:cstheme="minorHAnsi"/>
          <w:lang w:val="es-AR"/>
        </w:rPr>
        <w:t>El alumno deberá presentarse con uniforme correspondiente, y en condiciones presentables en relación a lo que se exige en el reglamento, si no cumple con este requisito el docente no le permitirá rendir.</w:t>
      </w:r>
    </w:p>
    <w:p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</w:p>
    <w:p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  <w:r>
        <w:rPr>
          <w:color w:val="auto"/>
          <w:sz w:val="28"/>
          <w:szCs w:val="28"/>
          <w:lang w:val="es-AR"/>
        </w:rPr>
        <w:t>Bibliografía del Estudiante.</w:t>
      </w:r>
    </w:p>
    <w:p>
      <w:pPr>
        <w:pStyle w:val="Textoindependiente"/>
        <w:rPr>
          <w:rFonts w:asciiTheme="minorHAnsi" w:hAnsiTheme="minorHAnsi" w:cstheme="minorHAnsi"/>
          <w:sz w:val="28"/>
          <w:szCs w:val="28"/>
        </w:rPr>
      </w:pPr>
    </w:p>
    <w:p>
      <w:pPr>
        <w:pStyle w:val="Textoindependiente"/>
        <w:numPr>
          <w:ilvl w:val="0"/>
          <w:numId w:val="6"/>
        </w:numPr>
        <w:rPr>
          <w:rFonts w:asciiTheme="minorHAnsi" w:eastAsia="Calibri" w:hAnsiTheme="minorHAnsi" w:cstheme="minorHAnsi"/>
          <w:color w:val="000000"/>
          <w:sz w:val="24"/>
          <w:szCs w:val="22"/>
          <w:lang w:eastAsia="en-US"/>
        </w:rPr>
      </w:pPr>
      <w:r>
        <w:rPr>
          <w:rFonts w:asciiTheme="minorHAnsi" w:eastAsia="Calibri" w:hAnsiTheme="minorHAnsi" w:cstheme="minorHAnsi"/>
          <w:color w:val="000000"/>
          <w:sz w:val="24"/>
          <w:szCs w:val="22"/>
          <w:lang w:eastAsia="en-US"/>
        </w:rPr>
        <w:t>Cuadernillo de “Orientación y Tutoría” 2025. Disponible en la Librería “Alvear”.</w:t>
      </w:r>
    </w:p>
    <w:p>
      <w:pPr>
        <w:spacing w:after="0" w:line="259" w:lineRule="auto"/>
        <w:ind w:left="0" w:firstLine="0"/>
        <w:jc w:val="left"/>
        <w:rPr>
          <w:rFonts w:asciiTheme="minorHAnsi" w:hAnsiTheme="minorHAnsi" w:cstheme="minorHAnsi"/>
          <w:lang w:val="es-AR"/>
        </w:rPr>
      </w:pPr>
    </w:p>
    <w:sectPr>
      <w:headerReference w:type="even" r:id="rId7"/>
      <w:headerReference w:type="default" r:id="rId8"/>
      <w:headerReference w:type="first" r:id="rId9"/>
      <w:pgSz w:w="11906" w:h="16838"/>
      <w:pgMar w:top="1134" w:right="1134" w:bottom="1134" w:left="1134" w:header="85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spacing w:after="0" w:line="240" w:lineRule="auto"/>
      <w:ind w:left="0" w:firstLine="0"/>
      <w:rPr>
        <w:b/>
        <w:lang w:val="es-AR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4823460</wp:posOffset>
          </wp:positionH>
          <wp:positionV relativeFrom="paragraph">
            <wp:posOffset>-197485</wp:posOffset>
          </wp:positionV>
          <wp:extent cx="647700" cy="762000"/>
          <wp:effectExtent l="0" t="0" r="0" b="0"/>
          <wp:wrapThrough wrapText="bothSides">
            <wp:wrapPolygon edited="0">
              <wp:start x="0" y="0"/>
              <wp:lineTo x="0" y="21060"/>
              <wp:lineTo x="20965" y="21060"/>
              <wp:lineTo x="20965" y="0"/>
              <wp:lineTo x="0" y="0"/>
            </wp:wrapPolygon>
          </wp:wrapThrough>
          <wp:docPr id="22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lang w:val="es-AR"/>
      </w:rPr>
      <w:t>PROGRAMA DE EXAMEN</w:t>
    </w:r>
  </w:p>
  <w:p>
    <w:pPr>
      <w:pBdr>
        <w:bottom w:val="single" w:sz="4" w:space="1" w:color="auto"/>
      </w:pBdr>
      <w:spacing w:after="0" w:line="240" w:lineRule="auto"/>
      <w:ind w:left="0" w:firstLine="0"/>
      <w:rPr>
        <w:lang w:val="es-AR"/>
      </w:rPr>
    </w:pPr>
    <w:r>
      <w:rPr>
        <w:b/>
        <w:lang w:val="es-AR"/>
      </w:rPr>
      <w:t>Colegio Dr. B. A Houssay Educación Secundaria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1587"/>
    <w:multiLevelType w:val="hybridMultilevel"/>
    <w:tmpl w:val="294CAA02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D1F14"/>
    <w:multiLevelType w:val="hybridMultilevel"/>
    <w:tmpl w:val="E92CDE68"/>
    <w:lvl w:ilvl="0" w:tplc="D71A9D3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280E1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1C36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F8E1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52D8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081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92BA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7C27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294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172BB0"/>
    <w:multiLevelType w:val="hybridMultilevel"/>
    <w:tmpl w:val="C3841F04"/>
    <w:lvl w:ilvl="0" w:tplc="F67CA9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3675A"/>
    <w:multiLevelType w:val="hybridMultilevel"/>
    <w:tmpl w:val="89CE2D8C"/>
    <w:lvl w:ilvl="0" w:tplc="9F14516C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9A62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44E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9A06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2686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76E6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230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681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03B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3465BF"/>
    <w:multiLevelType w:val="hybridMultilevel"/>
    <w:tmpl w:val="50BCD4C2"/>
    <w:lvl w:ilvl="0" w:tplc="C56A1BCC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4CD7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06012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E8B3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4758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282BF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4A79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C9C2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F096E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F1BAA7-3ED8-442C-B872-6C6D1213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7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3Car">
    <w:name w:val="Título 3 Car"/>
    <w:link w:val="Ttulo3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libri" w:eastAsia="Calibri" w:hAnsi="Calibri" w:cs="Calibri"/>
      <w:color w:val="000000"/>
      <w:sz w:val="24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Textoindependiente">
    <w:name w:val="Body Text"/>
    <w:basedOn w:val="Normal"/>
    <w:link w:val="TextoindependienteCar"/>
    <w:pPr>
      <w:spacing w:after="0" w:line="240" w:lineRule="auto"/>
      <w:ind w:left="0" w:firstLine="0"/>
    </w:pPr>
    <w:rPr>
      <w:rFonts w:ascii="Comic Sans MS" w:eastAsia="Times New Roman" w:hAnsi="Comic Sans MS" w:cs="Times New Roman"/>
      <w:color w:val="auto"/>
      <w:sz w:val="22"/>
      <w:szCs w:val="20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Comic Sans MS" w:eastAsia="Times New Roman" w:hAnsi="Comic Sans MS" w:cs="Times New Roman"/>
      <w:szCs w:val="20"/>
      <w:lang w:val="es-AR" w:eastAsia="es-E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  <w:ind w:left="0" w:firstLine="0"/>
      <w:jc w:val="left"/>
    </w:pPr>
    <w:rPr>
      <w:rFonts w:cs="Times New Roman"/>
      <w:color w:val="auto"/>
      <w:sz w:val="22"/>
    </w:rPr>
  </w:style>
  <w:style w:type="paragraph" w:customStyle="1" w:styleId="Normal1">
    <w:name w:val="Normal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8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Lety</dc:creator>
  <cp:keywords/>
  <cp:lastModifiedBy>Lenovo</cp:lastModifiedBy>
  <cp:revision>16</cp:revision>
  <dcterms:created xsi:type="dcterms:W3CDTF">2023-04-10T22:03:00Z</dcterms:created>
  <dcterms:modified xsi:type="dcterms:W3CDTF">2025-03-01T21:45:00Z</dcterms:modified>
</cp:coreProperties>
</file>