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135" w:rsidRPr="00961372" w:rsidRDefault="00124135" w:rsidP="00124135">
      <w:pPr>
        <w:jc w:val="center"/>
        <w:rPr>
          <w:b/>
          <w:sz w:val="28"/>
          <w:lang w:val="es-AR"/>
        </w:rPr>
      </w:pPr>
      <w:r>
        <w:rPr>
          <w:noProof/>
          <w:lang w:val="es-AR" w:eastAsia="es-AR"/>
        </w:rPr>
        <w:drawing>
          <wp:anchor distT="0" distB="0" distL="114300" distR="114300" simplePos="0" relativeHeight="251659264" behindDoc="0" locked="0" layoutInCell="1" allowOverlap="1" wp14:anchorId="17ECCB13" wp14:editId="7237562A">
            <wp:simplePos x="0" y="0"/>
            <wp:positionH relativeFrom="column">
              <wp:posOffset>4695825</wp:posOffset>
            </wp:positionH>
            <wp:positionV relativeFrom="paragraph">
              <wp:posOffset>-209550</wp:posOffset>
            </wp:positionV>
            <wp:extent cx="916305" cy="1288415"/>
            <wp:effectExtent l="0" t="0" r="0" b="6985"/>
            <wp:wrapNone/>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916305" cy="1288415"/>
                    </a:xfrm>
                    <a:prstGeom prst="rect">
                      <a:avLst/>
                    </a:prstGeom>
                    <a:ln/>
                  </pic:spPr>
                </pic:pic>
              </a:graphicData>
            </a:graphic>
          </wp:anchor>
        </w:drawing>
      </w:r>
      <w:r w:rsidRPr="00961372">
        <w:rPr>
          <w:b/>
          <w:sz w:val="28"/>
          <w:lang w:val="es-AR"/>
        </w:rPr>
        <w:t xml:space="preserve">Colegio </w:t>
      </w:r>
      <w:r>
        <w:rPr>
          <w:b/>
          <w:sz w:val="28"/>
          <w:lang w:val="es-AR"/>
        </w:rPr>
        <w:t>Santa Rosa de Lima</w:t>
      </w:r>
    </w:p>
    <w:p w:rsidR="00124135" w:rsidRDefault="00124135" w:rsidP="00124135">
      <w:pPr>
        <w:spacing w:line="240" w:lineRule="auto"/>
        <w:ind w:left="720"/>
        <w:jc w:val="center"/>
        <w:rPr>
          <w:lang w:val="es-AR"/>
        </w:rPr>
      </w:pPr>
      <w:r>
        <w:rPr>
          <w:lang w:val="es-AR"/>
        </w:rPr>
        <w:t>Ciclo Orientado. Cs. Sociales y Humanidades</w:t>
      </w:r>
    </w:p>
    <w:p w:rsidR="00124135" w:rsidRDefault="00124135" w:rsidP="00124135">
      <w:pPr>
        <w:spacing w:line="240" w:lineRule="auto"/>
        <w:jc w:val="center"/>
        <w:rPr>
          <w:lang w:val="es-AR"/>
        </w:rPr>
      </w:pPr>
      <w:r>
        <w:rPr>
          <w:lang w:val="es-AR"/>
        </w:rPr>
        <w:t>5° año B</w:t>
      </w:r>
    </w:p>
    <w:p w:rsidR="00124135" w:rsidRDefault="00124135" w:rsidP="00124135">
      <w:pPr>
        <w:spacing w:line="240" w:lineRule="auto"/>
        <w:jc w:val="center"/>
        <w:rPr>
          <w:lang w:val="es-AR"/>
        </w:rPr>
      </w:pPr>
      <w:r>
        <w:rPr>
          <w:lang w:val="es-AR"/>
        </w:rPr>
        <w:t>EDUCACIÓN EN DIVERSOS CONTEXTOS SOCIALES</w:t>
      </w:r>
    </w:p>
    <w:p w:rsidR="00124135" w:rsidRDefault="00124135" w:rsidP="00E8681A">
      <w:pPr>
        <w:rPr>
          <w:b/>
          <w:sz w:val="32"/>
          <w:lang w:val="es-AR"/>
        </w:rPr>
      </w:pPr>
      <w:bookmarkStart w:id="0" w:name="_GoBack"/>
      <w:bookmarkEnd w:id="0"/>
    </w:p>
    <w:p w:rsidR="00E8681A" w:rsidRPr="00E8681A" w:rsidRDefault="00E8681A" w:rsidP="00E8681A">
      <w:pPr>
        <w:rPr>
          <w:b/>
          <w:sz w:val="32"/>
          <w:lang w:val="es-AR"/>
        </w:rPr>
      </w:pPr>
      <w:r w:rsidRPr="00E8681A">
        <w:rPr>
          <w:b/>
          <w:sz w:val="32"/>
          <w:lang w:val="es-AR"/>
        </w:rPr>
        <w:t>BREVE RECORRIDO HISTORICO DEL SISTEMA EDUCATIVO ARGENTINO</w:t>
      </w:r>
    </w:p>
    <w:p w:rsidR="00E8681A" w:rsidRDefault="00E8681A" w:rsidP="00E8681A">
      <w:pPr>
        <w:rPr>
          <w:lang w:val="es-AR"/>
        </w:rPr>
      </w:pPr>
    </w:p>
    <w:p w:rsidR="00E8681A" w:rsidRDefault="00E8681A" w:rsidP="00E8681A">
      <w:pPr>
        <w:numPr>
          <w:ilvl w:val="0"/>
          <w:numId w:val="1"/>
        </w:numPr>
        <w:shd w:val="clear" w:color="auto" w:fill="FFFFFF"/>
        <w:spacing w:after="60" w:line="240" w:lineRule="auto"/>
        <w:ind w:left="0"/>
        <w:rPr>
          <w:rFonts w:ascii="Arial" w:eastAsia="Times New Roman" w:hAnsi="Arial" w:cs="Arial"/>
          <w:color w:val="1F1F1F"/>
          <w:sz w:val="24"/>
          <w:szCs w:val="24"/>
          <w:lang w:val="es-AR" w:eastAsia="es-AR"/>
        </w:rPr>
      </w:pPr>
      <w:r w:rsidRPr="00797500">
        <w:rPr>
          <w:rFonts w:ascii="Arial" w:eastAsia="Times New Roman" w:hAnsi="Arial" w:cs="Arial"/>
          <w:color w:val="1F1F1F"/>
          <w:sz w:val="24"/>
          <w:szCs w:val="24"/>
          <w:lang w:val="es-AR" w:eastAsia="es-AR"/>
        </w:rPr>
        <w:t>Constitución Nacional (1994) ...</w:t>
      </w:r>
    </w:p>
    <w:p w:rsidR="00E8681A" w:rsidRPr="00797500" w:rsidRDefault="00E8681A" w:rsidP="00E8681A">
      <w:pPr>
        <w:numPr>
          <w:ilvl w:val="0"/>
          <w:numId w:val="1"/>
        </w:numPr>
        <w:shd w:val="clear" w:color="auto" w:fill="FFFFFF"/>
        <w:spacing w:after="60" w:line="240" w:lineRule="auto"/>
        <w:ind w:left="0"/>
        <w:rPr>
          <w:rFonts w:ascii="Arial" w:eastAsia="Times New Roman" w:hAnsi="Arial" w:cs="Arial"/>
          <w:color w:val="1F1F1F"/>
          <w:sz w:val="24"/>
          <w:szCs w:val="24"/>
          <w:lang w:val="es-AR" w:eastAsia="es-AR"/>
        </w:rPr>
      </w:pPr>
      <w:r w:rsidRPr="00797500">
        <w:rPr>
          <w:rFonts w:ascii="Arial" w:eastAsia="Times New Roman" w:hAnsi="Arial" w:cs="Arial"/>
          <w:b/>
          <w:bCs/>
          <w:color w:val="1F1F1F"/>
          <w:sz w:val="24"/>
          <w:szCs w:val="24"/>
          <w:lang w:val="es-AR" w:eastAsia="es-AR"/>
        </w:rPr>
        <w:t>Ley</w:t>
      </w:r>
      <w:r w:rsidRPr="00797500">
        <w:rPr>
          <w:rFonts w:ascii="Arial" w:eastAsia="Times New Roman" w:hAnsi="Arial" w:cs="Arial"/>
          <w:color w:val="1F1F1F"/>
          <w:sz w:val="24"/>
          <w:szCs w:val="24"/>
          <w:lang w:val="es-AR" w:eastAsia="es-AR"/>
        </w:rPr>
        <w:t> del Congreso Pedagógico Nacional (1984)</w:t>
      </w:r>
    </w:p>
    <w:p w:rsidR="00E8681A" w:rsidRPr="00797500" w:rsidRDefault="00E8681A" w:rsidP="00E8681A">
      <w:pPr>
        <w:numPr>
          <w:ilvl w:val="0"/>
          <w:numId w:val="1"/>
        </w:numPr>
        <w:shd w:val="clear" w:color="auto" w:fill="FFFFFF"/>
        <w:spacing w:after="60" w:line="240" w:lineRule="auto"/>
        <w:ind w:left="0"/>
        <w:rPr>
          <w:rFonts w:ascii="Arial" w:eastAsia="Times New Roman" w:hAnsi="Arial" w:cs="Arial"/>
          <w:color w:val="1F1F1F"/>
          <w:sz w:val="24"/>
          <w:szCs w:val="24"/>
          <w:lang w:val="es-AR" w:eastAsia="es-AR"/>
        </w:rPr>
      </w:pPr>
      <w:r w:rsidRPr="00797500">
        <w:rPr>
          <w:rFonts w:ascii="Arial" w:eastAsia="Times New Roman" w:hAnsi="Arial" w:cs="Arial"/>
          <w:b/>
          <w:bCs/>
          <w:color w:val="1F1F1F"/>
          <w:sz w:val="24"/>
          <w:szCs w:val="24"/>
          <w:lang w:val="es-AR" w:eastAsia="es-AR"/>
        </w:rPr>
        <w:t>Ley</w:t>
      </w:r>
      <w:r w:rsidRPr="00797500">
        <w:rPr>
          <w:rFonts w:ascii="Arial" w:eastAsia="Times New Roman" w:hAnsi="Arial" w:cs="Arial"/>
          <w:color w:val="1F1F1F"/>
          <w:sz w:val="24"/>
          <w:szCs w:val="24"/>
          <w:lang w:val="es-AR" w:eastAsia="es-AR"/>
        </w:rPr>
        <w:t> de </w:t>
      </w:r>
      <w:r w:rsidRPr="00797500">
        <w:rPr>
          <w:rFonts w:ascii="Arial" w:eastAsia="Times New Roman" w:hAnsi="Arial" w:cs="Arial"/>
          <w:b/>
          <w:bCs/>
          <w:color w:val="1F1F1F"/>
          <w:sz w:val="24"/>
          <w:szCs w:val="24"/>
          <w:lang w:val="es-AR" w:eastAsia="es-AR"/>
        </w:rPr>
        <w:t>Educación</w:t>
      </w:r>
      <w:r w:rsidRPr="00797500">
        <w:rPr>
          <w:rFonts w:ascii="Arial" w:eastAsia="Times New Roman" w:hAnsi="Arial" w:cs="Arial"/>
          <w:color w:val="1F1F1F"/>
          <w:sz w:val="24"/>
          <w:szCs w:val="24"/>
          <w:lang w:val="es-AR" w:eastAsia="es-AR"/>
        </w:rPr>
        <w:t> Nacional (2006) ...</w:t>
      </w:r>
    </w:p>
    <w:p w:rsidR="00E8681A" w:rsidRDefault="00E8681A" w:rsidP="00E8681A">
      <w:pPr>
        <w:numPr>
          <w:ilvl w:val="0"/>
          <w:numId w:val="1"/>
        </w:numPr>
        <w:shd w:val="clear" w:color="auto" w:fill="FFFFFF"/>
        <w:spacing w:after="60" w:line="240" w:lineRule="auto"/>
        <w:ind w:left="0"/>
        <w:rPr>
          <w:rFonts w:ascii="Arial" w:eastAsia="Times New Roman" w:hAnsi="Arial" w:cs="Arial"/>
          <w:color w:val="1F1F1F"/>
          <w:sz w:val="24"/>
          <w:szCs w:val="24"/>
          <w:lang w:val="es-AR" w:eastAsia="es-AR"/>
        </w:rPr>
      </w:pPr>
      <w:r w:rsidRPr="00797500">
        <w:rPr>
          <w:rFonts w:ascii="Arial" w:eastAsia="Times New Roman" w:hAnsi="Arial" w:cs="Arial"/>
          <w:b/>
          <w:bCs/>
          <w:color w:val="1F1F1F"/>
          <w:sz w:val="24"/>
          <w:szCs w:val="24"/>
          <w:lang w:val="es-AR" w:eastAsia="es-AR"/>
        </w:rPr>
        <w:t>Ley</w:t>
      </w:r>
      <w:r w:rsidRPr="00797500">
        <w:rPr>
          <w:rFonts w:ascii="Arial" w:eastAsia="Times New Roman" w:hAnsi="Arial" w:cs="Arial"/>
          <w:color w:val="1F1F1F"/>
          <w:sz w:val="24"/>
          <w:szCs w:val="24"/>
          <w:lang w:val="es-AR" w:eastAsia="es-AR"/>
        </w:rPr>
        <w:t> Federal de </w:t>
      </w:r>
      <w:r w:rsidRPr="00797500">
        <w:rPr>
          <w:rFonts w:ascii="Arial" w:eastAsia="Times New Roman" w:hAnsi="Arial" w:cs="Arial"/>
          <w:b/>
          <w:bCs/>
          <w:color w:val="1F1F1F"/>
          <w:sz w:val="24"/>
          <w:szCs w:val="24"/>
          <w:lang w:val="es-AR" w:eastAsia="es-AR"/>
        </w:rPr>
        <w:t>Educación</w:t>
      </w:r>
      <w:r w:rsidRPr="00797500">
        <w:rPr>
          <w:rFonts w:ascii="Arial" w:eastAsia="Times New Roman" w:hAnsi="Arial" w:cs="Arial"/>
          <w:color w:val="1F1F1F"/>
          <w:sz w:val="24"/>
          <w:szCs w:val="24"/>
          <w:lang w:val="es-AR" w:eastAsia="es-AR"/>
        </w:rPr>
        <w:t> (1993) ...</w:t>
      </w:r>
    </w:p>
    <w:p w:rsidR="00E8681A" w:rsidRDefault="00E8681A" w:rsidP="00E8681A">
      <w:pPr>
        <w:numPr>
          <w:ilvl w:val="0"/>
          <w:numId w:val="1"/>
        </w:numPr>
        <w:shd w:val="clear" w:color="auto" w:fill="FFFFFF"/>
        <w:spacing w:after="60" w:line="240" w:lineRule="auto"/>
        <w:ind w:left="0"/>
        <w:rPr>
          <w:rFonts w:ascii="Arial" w:eastAsia="Times New Roman" w:hAnsi="Arial" w:cs="Arial"/>
          <w:color w:val="1F1F1F"/>
          <w:sz w:val="24"/>
          <w:szCs w:val="24"/>
          <w:lang w:val="es-AR" w:eastAsia="es-AR"/>
        </w:rPr>
      </w:pPr>
      <w:r w:rsidRPr="00797500">
        <w:rPr>
          <w:rFonts w:ascii="Arial" w:eastAsia="Times New Roman" w:hAnsi="Arial" w:cs="Arial"/>
          <w:b/>
          <w:bCs/>
          <w:color w:val="1F1F1F"/>
          <w:sz w:val="24"/>
          <w:szCs w:val="24"/>
          <w:lang w:val="es-AR" w:eastAsia="es-AR"/>
        </w:rPr>
        <w:t>Ley</w:t>
      </w:r>
      <w:r w:rsidRPr="00797500">
        <w:rPr>
          <w:rFonts w:ascii="Arial" w:eastAsia="Times New Roman" w:hAnsi="Arial" w:cs="Arial"/>
          <w:color w:val="1F1F1F"/>
          <w:sz w:val="24"/>
          <w:szCs w:val="24"/>
          <w:lang w:val="es-AR" w:eastAsia="es-AR"/>
        </w:rPr>
        <w:t> de </w:t>
      </w:r>
      <w:r w:rsidRPr="00797500">
        <w:rPr>
          <w:rFonts w:ascii="Arial" w:eastAsia="Times New Roman" w:hAnsi="Arial" w:cs="Arial"/>
          <w:b/>
          <w:bCs/>
          <w:color w:val="1F1F1F"/>
          <w:sz w:val="24"/>
          <w:szCs w:val="24"/>
          <w:lang w:val="es-AR" w:eastAsia="es-AR"/>
        </w:rPr>
        <w:t>Educación</w:t>
      </w:r>
      <w:r w:rsidRPr="00797500">
        <w:rPr>
          <w:rFonts w:ascii="Arial" w:eastAsia="Times New Roman" w:hAnsi="Arial" w:cs="Arial"/>
          <w:color w:val="1F1F1F"/>
          <w:sz w:val="24"/>
          <w:szCs w:val="24"/>
          <w:lang w:val="es-AR" w:eastAsia="es-AR"/>
        </w:rPr>
        <w:t> Superior (1995) ...</w:t>
      </w:r>
    </w:p>
    <w:p w:rsidR="00E8681A" w:rsidRPr="00797500" w:rsidRDefault="00E8681A" w:rsidP="00E8681A">
      <w:pPr>
        <w:numPr>
          <w:ilvl w:val="0"/>
          <w:numId w:val="1"/>
        </w:numPr>
        <w:shd w:val="clear" w:color="auto" w:fill="FFFFFF"/>
        <w:spacing w:after="60" w:line="240" w:lineRule="auto"/>
        <w:ind w:left="0"/>
        <w:rPr>
          <w:rFonts w:ascii="Arial" w:eastAsia="Times New Roman" w:hAnsi="Arial" w:cs="Arial"/>
          <w:color w:val="1F1F1F"/>
          <w:sz w:val="24"/>
          <w:szCs w:val="24"/>
          <w:lang w:val="es-AR" w:eastAsia="es-AR"/>
        </w:rPr>
      </w:pPr>
      <w:r w:rsidRPr="00797500">
        <w:rPr>
          <w:rFonts w:ascii="Arial" w:eastAsia="Times New Roman" w:hAnsi="Arial" w:cs="Arial"/>
          <w:b/>
          <w:bCs/>
          <w:color w:val="1F1F1F"/>
          <w:sz w:val="24"/>
          <w:szCs w:val="24"/>
          <w:lang w:val="es-AR" w:eastAsia="es-AR"/>
        </w:rPr>
        <w:t>Ley</w:t>
      </w:r>
      <w:r w:rsidRPr="00797500">
        <w:rPr>
          <w:rFonts w:ascii="Arial" w:eastAsia="Times New Roman" w:hAnsi="Arial" w:cs="Arial"/>
          <w:color w:val="1F1F1F"/>
          <w:sz w:val="24"/>
          <w:szCs w:val="24"/>
          <w:lang w:val="es-AR" w:eastAsia="es-AR"/>
        </w:rPr>
        <w:t> de 180 días de clase (2003) ...</w:t>
      </w:r>
    </w:p>
    <w:p w:rsidR="00E8681A" w:rsidRPr="00797500" w:rsidRDefault="00E8681A" w:rsidP="00E8681A">
      <w:pPr>
        <w:numPr>
          <w:ilvl w:val="0"/>
          <w:numId w:val="1"/>
        </w:numPr>
        <w:shd w:val="clear" w:color="auto" w:fill="FFFFFF"/>
        <w:spacing w:after="60" w:line="240" w:lineRule="auto"/>
        <w:ind w:left="0"/>
        <w:rPr>
          <w:rFonts w:ascii="Arial" w:eastAsia="Times New Roman" w:hAnsi="Arial" w:cs="Arial"/>
          <w:color w:val="1F1F1F"/>
          <w:sz w:val="24"/>
          <w:szCs w:val="24"/>
          <w:lang w:val="es-AR" w:eastAsia="es-AR"/>
        </w:rPr>
      </w:pPr>
      <w:r w:rsidRPr="00797500">
        <w:rPr>
          <w:rFonts w:ascii="Arial" w:eastAsia="Times New Roman" w:hAnsi="Arial" w:cs="Arial"/>
          <w:b/>
          <w:bCs/>
          <w:color w:val="1F1F1F"/>
          <w:sz w:val="24"/>
          <w:szCs w:val="24"/>
          <w:lang w:val="es-AR" w:eastAsia="es-AR"/>
        </w:rPr>
        <w:t>Ley</w:t>
      </w:r>
      <w:r w:rsidRPr="00797500">
        <w:rPr>
          <w:rFonts w:ascii="Arial" w:eastAsia="Times New Roman" w:hAnsi="Arial" w:cs="Arial"/>
          <w:color w:val="1F1F1F"/>
          <w:sz w:val="24"/>
          <w:szCs w:val="24"/>
          <w:lang w:val="es-AR" w:eastAsia="es-AR"/>
        </w:rPr>
        <w:t> de Financiamiento Educativo (2005) ...</w:t>
      </w:r>
    </w:p>
    <w:p w:rsidR="00E8681A" w:rsidRPr="00797500" w:rsidRDefault="00E8681A" w:rsidP="00E8681A">
      <w:pPr>
        <w:numPr>
          <w:ilvl w:val="0"/>
          <w:numId w:val="1"/>
        </w:numPr>
        <w:shd w:val="clear" w:color="auto" w:fill="FFFFFF"/>
        <w:spacing w:after="60" w:line="240" w:lineRule="auto"/>
        <w:ind w:left="0"/>
        <w:rPr>
          <w:rFonts w:ascii="Arial" w:eastAsia="Times New Roman" w:hAnsi="Arial" w:cs="Arial"/>
          <w:color w:val="1F1F1F"/>
          <w:sz w:val="24"/>
          <w:szCs w:val="24"/>
          <w:lang w:val="es-AR" w:eastAsia="es-AR"/>
        </w:rPr>
      </w:pPr>
      <w:r w:rsidRPr="00797500">
        <w:rPr>
          <w:rFonts w:ascii="Arial" w:eastAsia="Times New Roman" w:hAnsi="Arial" w:cs="Arial"/>
          <w:b/>
          <w:bCs/>
          <w:color w:val="1F1F1F"/>
          <w:sz w:val="24"/>
          <w:szCs w:val="24"/>
          <w:lang w:val="es-AR" w:eastAsia="es-AR"/>
        </w:rPr>
        <w:t>Ley</w:t>
      </w:r>
      <w:r w:rsidRPr="00797500">
        <w:rPr>
          <w:rFonts w:ascii="Arial" w:eastAsia="Times New Roman" w:hAnsi="Arial" w:cs="Arial"/>
          <w:color w:val="1F1F1F"/>
          <w:sz w:val="24"/>
          <w:szCs w:val="24"/>
          <w:lang w:val="es-AR" w:eastAsia="es-AR"/>
        </w:rPr>
        <w:t> de </w:t>
      </w:r>
      <w:r w:rsidRPr="00797500">
        <w:rPr>
          <w:rFonts w:ascii="Arial" w:eastAsia="Times New Roman" w:hAnsi="Arial" w:cs="Arial"/>
          <w:b/>
          <w:bCs/>
          <w:color w:val="1F1F1F"/>
          <w:sz w:val="24"/>
          <w:szCs w:val="24"/>
          <w:lang w:val="es-AR" w:eastAsia="es-AR"/>
        </w:rPr>
        <w:t>Educación</w:t>
      </w:r>
      <w:r w:rsidRPr="00797500">
        <w:rPr>
          <w:rFonts w:ascii="Arial" w:eastAsia="Times New Roman" w:hAnsi="Arial" w:cs="Arial"/>
          <w:color w:val="1F1F1F"/>
          <w:sz w:val="24"/>
          <w:szCs w:val="24"/>
          <w:lang w:val="es-AR" w:eastAsia="es-AR"/>
        </w:rPr>
        <w:t> Técnico Profesional (2005)</w:t>
      </w:r>
    </w:p>
    <w:p w:rsidR="00E8681A" w:rsidRDefault="00E8681A" w:rsidP="00E8681A">
      <w:pPr>
        <w:rPr>
          <w:lang w:val="es-AR"/>
        </w:rPr>
      </w:pPr>
    </w:p>
    <w:p w:rsidR="00E8681A" w:rsidRPr="0008251D" w:rsidRDefault="00E8681A" w:rsidP="00E8681A">
      <w:pPr>
        <w:pStyle w:val="Ttulo2"/>
        <w:spacing w:before="0" w:beforeAutospacing="0" w:after="180" w:afterAutospacing="0"/>
        <w:jc w:val="both"/>
        <w:rPr>
          <w:rFonts w:ascii="Arial" w:hAnsi="Arial" w:cs="Arial"/>
          <w:color w:val="1F1F1F"/>
          <w:sz w:val="28"/>
        </w:rPr>
      </w:pPr>
      <w:r w:rsidRPr="0008251D">
        <w:rPr>
          <w:rFonts w:ascii="Arial" w:hAnsi="Arial" w:cs="Arial"/>
          <w:color w:val="1F1F1F"/>
          <w:sz w:val="28"/>
        </w:rPr>
        <w:t>Constitución Nacional (1994)</w:t>
      </w:r>
    </w:p>
    <w:p w:rsidR="00E8681A" w:rsidRPr="00E8681A" w:rsidRDefault="00E8681A" w:rsidP="00E8681A">
      <w:pPr>
        <w:pStyle w:val="paragraph"/>
        <w:spacing w:before="0" w:beforeAutospacing="0" w:after="360" w:afterAutospacing="0"/>
        <w:jc w:val="both"/>
        <w:rPr>
          <w:rFonts w:ascii="Arial" w:hAnsi="Arial" w:cs="Arial"/>
          <w:color w:val="1F1F1F"/>
          <w:szCs w:val="33"/>
        </w:rPr>
      </w:pPr>
      <w:r w:rsidRPr="00E8681A">
        <w:rPr>
          <w:rFonts w:ascii="Arial" w:hAnsi="Arial" w:cs="Arial"/>
          <w:color w:val="1F1F1F"/>
          <w:szCs w:val="33"/>
        </w:rPr>
        <w:t>En primer lugar, no podía faltar la “ley suprema”, cuyo artículo 14 establece el derecho a enseñar y aprender. La </w:t>
      </w:r>
      <w:r w:rsidRPr="00E8681A">
        <w:rPr>
          <w:rFonts w:ascii="Arial" w:hAnsi="Arial" w:cs="Arial"/>
          <w:b/>
          <w:bCs/>
          <w:color w:val="1F1F1F"/>
          <w:szCs w:val="33"/>
        </w:rPr>
        <w:t>reforma de 1994</w:t>
      </w:r>
      <w:r w:rsidRPr="00E8681A">
        <w:rPr>
          <w:rFonts w:ascii="Arial" w:hAnsi="Arial" w:cs="Arial"/>
          <w:color w:val="1F1F1F"/>
          <w:szCs w:val="33"/>
        </w:rPr>
        <w:t> incluyó, entre otras cuestiones, el inciso 19 del artículo 75, que reconoce la </w:t>
      </w:r>
      <w:r w:rsidRPr="00E8681A">
        <w:rPr>
          <w:rFonts w:ascii="Arial" w:hAnsi="Arial" w:cs="Arial"/>
          <w:b/>
          <w:bCs/>
          <w:color w:val="1F1F1F"/>
          <w:szCs w:val="33"/>
        </w:rPr>
        <w:t>“responsabilidad indelegable” del Estado por la educación, así como la participación de la familia y la sociedad</w:t>
      </w:r>
      <w:r w:rsidRPr="00E8681A">
        <w:rPr>
          <w:rFonts w:ascii="Arial" w:hAnsi="Arial" w:cs="Arial"/>
          <w:color w:val="1F1F1F"/>
          <w:szCs w:val="33"/>
        </w:rPr>
        <w:t>. También establece que el Congreso deberá sancionar leyes que “garanticen los principios de </w:t>
      </w:r>
      <w:r w:rsidRPr="00E8681A">
        <w:rPr>
          <w:rFonts w:ascii="Arial" w:hAnsi="Arial" w:cs="Arial"/>
          <w:b/>
          <w:bCs/>
          <w:color w:val="1F1F1F"/>
          <w:szCs w:val="33"/>
        </w:rPr>
        <w:t>gratuidad y equidad</w:t>
      </w:r>
      <w:r w:rsidRPr="00E8681A">
        <w:rPr>
          <w:rFonts w:ascii="Arial" w:hAnsi="Arial" w:cs="Arial"/>
          <w:color w:val="1F1F1F"/>
          <w:szCs w:val="33"/>
        </w:rPr>
        <w:t> de la educación pública estatal” y “la </w:t>
      </w:r>
      <w:r w:rsidRPr="00E8681A">
        <w:rPr>
          <w:rFonts w:ascii="Arial" w:hAnsi="Arial" w:cs="Arial"/>
          <w:b/>
          <w:bCs/>
          <w:color w:val="1F1F1F"/>
          <w:szCs w:val="33"/>
        </w:rPr>
        <w:t>autonomía y autarquía</w:t>
      </w:r>
      <w:r w:rsidRPr="00E8681A">
        <w:rPr>
          <w:rFonts w:ascii="Arial" w:hAnsi="Arial" w:cs="Arial"/>
          <w:color w:val="1F1F1F"/>
          <w:szCs w:val="33"/>
        </w:rPr>
        <w:t> de las universidades nacionales”.</w:t>
      </w:r>
    </w:p>
    <w:p w:rsidR="00E8681A" w:rsidRPr="00E8681A" w:rsidRDefault="00E8681A" w:rsidP="00E8681A">
      <w:pPr>
        <w:pStyle w:val="paragraph"/>
        <w:spacing w:before="0" w:beforeAutospacing="0" w:after="360" w:afterAutospacing="0"/>
        <w:jc w:val="both"/>
        <w:rPr>
          <w:rFonts w:ascii="Arial" w:hAnsi="Arial" w:cs="Arial"/>
          <w:color w:val="1F1F1F"/>
          <w:szCs w:val="33"/>
        </w:rPr>
      </w:pPr>
      <w:r w:rsidRPr="00E8681A">
        <w:rPr>
          <w:rFonts w:ascii="Arial" w:hAnsi="Arial" w:cs="Arial"/>
          <w:b/>
          <w:bCs/>
          <w:color w:val="1F1F1F"/>
          <w:szCs w:val="33"/>
        </w:rPr>
        <w:t xml:space="preserve">Jaime </w:t>
      </w:r>
      <w:proofErr w:type="spellStart"/>
      <w:r w:rsidRPr="00E8681A">
        <w:rPr>
          <w:rFonts w:ascii="Arial" w:hAnsi="Arial" w:cs="Arial"/>
          <w:b/>
          <w:bCs/>
          <w:color w:val="1F1F1F"/>
          <w:szCs w:val="33"/>
        </w:rPr>
        <w:t>Perczyk</w:t>
      </w:r>
      <w:proofErr w:type="spellEnd"/>
      <w:r w:rsidRPr="00E8681A">
        <w:rPr>
          <w:rFonts w:ascii="Arial" w:hAnsi="Arial" w:cs="Arial"/>
          <w:color w:val="1F1F1F"/>
          <w:szCs w:val="33"/>
        </w:rPr>
        <w:t>, ministro de Educación de la Nación, plantea: “La primera norma que mencionaría es la Constitución del 94, que dispone la gratuidad de la educación pública y la autarquía y la autonomía universitaria en el inciso 19″. Otro inciso de ese mismo artículo garantiza el derecho a una </w:t>
      </w:r>
      <w:r w:rsidRPr="00E8681A">
        <w:rPr>
          <w:rFonts w:ascii="Arial" w:hAnsi="Arial" w:cs="Arial"/>
          <w:b/>
          <w:bCs/>
          <w:color w:val="1F1F1F"/>
          <w:szCs w:val="33"/>
        </w:rPr>
        <w:t>educación bilingüe e intercultural</w:t>
      </w:r>
      <w:r w:rsidRPr="00E8681A">
        <w:rPr>
          <w:rFonts w:ascii="Arial" w:hAnsi="Arial" w:cs="Arial"/>
          <w:color w:val="1F1F1F"/>
          <w:szCs w:val="33"/>
        </w:rPr>
        <w:t>, al reconocer la preexistencia étnica y cultural de los pueblos originarios. El artículo 42 alude a la “educación para el consumo”, entendida de manera similar a lo que hoy se denomina “educación financiera”. Mientras que el artículo 41 menciona la </w:t>
      </w:r>
      <w:r w:rsidRPr="00E8681A">
        <w:rPr>
          <w:rFonts w:ascii="Arial" w:hAnsi="Arial" w:cs="Arial"/>
          <w:b/>
          <w:bCs/>
          <w:color w:val="1F1F1F"/>
          <w:szCs w:val="33"/>
        </w:rPr>
        <w:t>educación ambiental</w:t>
      </w:r>
      <w:r w:rsidRPr="00E8681A">
        <w:rPr>
          <w:rFonts w:ascii="Arial" w:hAnsi="Arial" w:cs="Arial"/>
          <w:color w:val="1F1F1F"/>
          <w:szCs w:val="33"/>
        </w:rPr>
        <w:t>, que fue objeto de una ley específica recién en 2021 (la </w:t>
      </w:r>
      <w:r w:rsidRPr="00E8681A">
        <w:rPr>
          <w:rFonts w:ascii="Arial" w:hAnsi="Arial" w:cs="Arial"/>
          <w:b/>
          <w:bCs/>
          <w:color w:val="1F1F1F"/>
          <w:szCs w:val="33"/>
        </w:rPr>
        <w:t>Ley 27.621</w:t>
      </w:r>
      <w:r w:rsidRPr="00E8681A">
        <w:rPr>
          <w:rFonts w:ascii="Arial" w:hAnsi="Arial" w:cs="Arial"/>
          <w:color w:val="1F1F1F"/>
          <w:szCs w:val="33"/>
        </w:rPr>
        <w:t> de Educación Ambiental Integral).</w:t>
      </w:r>
    </w:p>
    <w:p w:rsidR="00E8681A" w:rsidRPr="0008251D" w:rsidRDefault="00E8681A" w:rsidP="00E8681A">
      <w:pPr>
        <w:pStyle w:val="Ttulo2"/>
        <w:spacing w:before="0" w:beforeAutospacing="0" w:after="180" w:afterAutospacing="0"/>
        <w:jc w:val="both"/>
        <w:rPr>
          <w:rFonts w:ascii="Arial" w:hAnsi="Arial" w:cs="Arial"/>
          <w:color w:val="1F1F1F"/>
          <w:sz w:val="28"/>
        </w:rPr>
      </w:pPr>
      <w:r w:rsidRPr="0008251D">
        <w:rPr>
          <w:rFonts w:ascii="Arial" w:hAnsi="Arial" w:cs="Arial"/>
          <w:color w:val="1F1F1F"/>
          <w:sz w:val="28"/>
        </w:rPr>
        <w:t>2. Ley de Educación Nacional (2006)</w:t>
      </w:r>
    </w:p>
    <w:p w:rsidR="00E8681A" w:rsidRPr="00E8681A" w:rsidRDefault="00E8681A" w:rsidP="00E8681A">
      <w:pPr>
        <w:pStyle w:val="paragraph"/>
        <w:spacing w:before="0" w:beforeAutospacing="0" w:after="360" w:afterAutospacing="0"/>
        <w:jc w:val="both"/>
        <w:rPr>
          <w:rFonts w:ascii="Arial" w:hAnsi="Arial" w:cs="Arial"/>
          <w:color w:val="1F1F1F"/>
          <w:szCs w:val="33"/>
        </w:rPr>
      </w:pPr>
      <w:r w:rsidRPr="00E8681A">
        <w:rPr>
          <w:rFonts w:ascii="Arial" w:hAnsi="Arial" w:cs="Arial"/>
          <w:color w:val="1F1F1F"/>
          <w:szCs w:val="33"/>
        </w:rPr>
        <w:lastRenderedPageBreak/>
        <w:t>Sancionada en diciembre de 2006, la </w:t>
      </w:r>
      <w:r w:rsidRPr="00E8681A">
        <w:rPr>
          <w:rFonts w:ascii="Arial" w:hAnsi="Arial" w:cs="Arial"/>
          <w:b/>
          <w:bCs/>
          <w:color w:val="1F1F1F"/>
          <w:szCs w:val="33"/>
        </w:rPr>
        <w:t>Ley N° 26.206</w:t>
      </w:r>
      <w:r w:rsidRPr="00E8681A">
        <w:rPr>
          <w:rFonts w:ascii="Arial" w:hAnsi="Arial" w:cs="Arial"/>
          <w:color w:val="1F1F1F"/>
          <w:szCs w:val="33"/>
        </w:rPr>
        <w:t> le dio al sistema educativo su forma actual. Restableció la estructura de primaria y secundaria y definió, entre otras cuestiones, la </w:t>
      </w:r>
      <w:r w:rsidRPr="00E8681A">
        <w:rPr>
          <w:rFonts w:ascii="Arial" w:hAnsi="Arial" w:cs="Arial"/>
          <w:b/>
          <w:bCs/>
          <w:color w:val="1F1F1F"/>
          <w:szCs w:val="33"/>
        </w:rPr>
        <w:t>obligatoriedad de la escuela secundaria</w:t>
      </w:r>
      <w:r w:rsidRPr="00E8681A">
        <w:rPr>
          <w:rFonts w:ascii="Arial" w:hAnsi="Arial" w:cs="Arial"/>
          <w:color w:val="1F1F1F"/>
          <w:szCs w:val="33"/>
        </w:rPr>
        <w:t>, ampliando a </w:t>
      </w:r>
      <w:r w:rsidRPr="00E8681A">
        <w:rPr>
          <w:rFonts w:ascii="Arial" w:hAnsi="Arial" w:cs="Arial"/>
          <w:b/>
          <w:bCs/>
          <w:color w:val="1F1F1F"/>
          <w:szCs w:val="33"/>
        </w:rPr>
        <w:t>13 años</w:t>
      </w:r>
      <w:r w:rsidRPr="00E8681A">
        <w:rPr>
          <w:rFonts w:ascii="Arial" w:hAnsi="Arial" w:cs="Arial"/>
          <w:color w:val="1F1F1F"/>
          <w:szCs w:val="33"/>
        </w:rPr>
        <w:t> la escolaridad obligatoria (hasta ese momento eran 10). La ley define la educación y el conocimiento como “un bien público y un derecho personal y social, garantizado por el Estado”. También incorpora la meta de </w:t>
      </w:r>
      <w:r w:rsidRPr="00E8681A">
        <w:rPr>
          <w:rFonts w:ascii="Arial" w:hAnsi="Arial" w:cs="Arial"/>
          <w:b/>
          <w:bCs/>
          <w:color w:val="1F1F1F"/>
          <w:szCs w:val="33"/>
        </w:rPr>
        <w:t>inversión del 6% del PBI</w:t>
      </w:r>
      <w:r w:rsidRPr="00E8681A">
        <w:rPr>
          <w:rFonts w:ascii="Arial" w:hAnsi="Arial" w:cs="Arial"/>
          <w:color w:val="1F1F1F"/>
          <w:szCs w:val="33"/>
        </w:rPr>
        <w:t>, establecida previamente en la Ley de Financiamiento Educativo.</w:t>
      </w:r>
    </w:p>
    <w:p w:rsidR="00E8681A" w:rsidRPr="00E8681A" w:rsidRDefault="00E8681A" w:rsidP="00E8681A">
      <w:pPr>
        <w:pStyle w:val="paragraph"/>
        <w:spacing w:before="0" w:beforeAutospacing="0" w:after="360" w:afterAutospacing="0"/>
        <w:jc w:val="both"/>
        <w:rPr>
          <w:rFonts w:ascii="Arial" w:hAnsi="Arial" w:cs="Arial"/>
          <w:color w:val="1F1F1F"/>
          <w:szCs w:val="33"/>
        </w:rPr>
      </w:pPr>
      <w:r w:rsidRPr="00E8681A">
        <w:rPr>
          <w:rFonts w:ascii="Arial" w:hAnsi="Arial" w:cs="Arial"/>
          <w:color w:val="1F1F1F"/>
          <w:szCs w:val="33"/>
        </w:rPr>
        <w:t>“A diferencia de otro tipo de leyes, </w:t>
      </w:r>
      <w:r w:rsidRPr="00E8681A">
        <w:rPr>
          <w:rFonts w:ascii="Arial" w:hAnsi="Arial" w:cs="Arial"/>
          <w:b/>
          <w:bCs/>
          <w:color w:val="1F1F1F"/>
          <w:szCs w:val="33"/>
        </w:rPr>
        <w:t>las leyes educativas son planes y proyectos de gobierno</w:t>
      </w:r>
      <w:r w:rsidRPr="00E8681A">
        <w:rPr>
          <w:rFonts w:ascii="Arial" w:hAnsi="Arial" w:cs="Arial"/>
          <w:color w:val="1F1F1F"/>
          <w:szCs w:val="33"/>
        </w:rPr>
        <w:t>. De hecho, la Ley 1420 se cumplió 100 años después de que se aprobara. Entonces la Ley de Educación Nacional, que plantea que todos terminen la secundaria, escuelas bilingües, obligatoriedad desde el nivel inicial, la enseñanza de las nuevas tecnologías de información y comunicación, jornada completa, no es algo que se pueda cumplir de un día para el otro. Por eso es necesario tener políticas de Estado”, afirma </w:t>
      </w:r>
      <w:r w:rsidRPr="00E8681A">
        <w:rPr>
          <w:rFonts w:ascii="Arial" w:hAnsi="Arial" w:cs="Arial"/>
          <w:b/>
          <w:bCs/>
          <w:color w:val="1F1F1F"/>
          <w:szCs w:val="33"/>
        </w:rPr>
        <w:t xml:space="preserve">Daniel </w:t>
      </w:r>
      <w:proofErr w:type="spellStart"/>
      <w:r w:rsidRPr="00E8681A">
        <w:rPr>
          <w:rFonts w:ascii="Arial" w:hAnsi="Arial" w:cs="Arial"/>
          <w:b/>
          <w:bCs/>
          <w:color w:val="1F1F1F"/>
          <w:szCs w:val="33"/>
        </w:rPr>
        <w:t>Filmus</w:t>
      </w:r>
      <w:proofErr w:type="spellEnd"/>
      <w:r w:rsidRPr="00E8681A">
        <w:rPr>
          <w:rFonts w:ascii="Arial" w:hAnsi="Arial" w:cs="Arial"/>
          <w:color w:val="1F1F1F"/>
          <w:szCs w:val="33"/>
        </w:rPr>
        <w:t>, ministro entre mayo de 2003 y diciembre de 2007, impulsor de la norma.</w:t>
      </w:r>
    </w:p>
    <w:p w:rsidR="00E8681A" w:rsidRPr="00E8681A" w:rsidRDefault="00E8681A" w:rsidP="00E8681A">
      <w:pPr>
        <w:pStyle w:val="paragraph"/>
        <w:spacing w:before="0" w:beforeAutospacing="0" w:after="360" w:afterAutospacing="0"/>
        <w:jc w:val="both"/>
        <w:rPr>
          <w:rFonts w:ascii="Arial" w:hAnsi="Arial" w:cs="Arial"/>
          <w:color w:val="1F1F1F"/>
          <w:szCs w:val="33"/>
        </w:rPr>
      </w:pPr>
      <w:r w:rsidRPr="00E8681A">
        <w:rPr>
          <w:rFonts w:ascii="Arial" w:hAnsi="Arial" w:cs="Arial"/>
          <w:color w:val="1F1F1F"/>
          <w:szCs w:val="33"/>
        </w:rPr>
        <w:t xml:space="preserve">El artículo 85 de la Ley de Educación Nacional permitió que “se unificaran los contenidos, que estaban muy disgregados en todo el país”, agrega </w:t>
      </w:r>
      <w:proofErr w:type="spellStart"/>
      <w:r w:rsidRPr="00E8681A">
        <w:rPr>
          <w:rFonts w:ascii="Arial" w:hAnsi="Arial" w:cs="Arial"/>
          <w:color w:val="1F1F1F"/>
          <w:szCs w:val="33"/>
        </w:rPr>
        <w:t>Filmus</w:t>
      </w:r>
      <w:proofErr w:type="spellEnd"/>
      <w:r w:rsidRPr="00E8681A">
        <w:rPr>
          <w:rFonts w:ascii="Arial" w:hAnsi="Arial" w:cs="Arial"/>
          <w:color w:val="1F1F1F"/>
          <w:szCs w:val="33"/>
        </w:rPr>
        <w:t>. Y señala que en esos años “se construyeron de forma participativa los </w:t>
      </w:r>
      <w:r w:rsidRPr="00E8681A">
        <w:rPr>
          <w:rFonts w:ascii="Arial" w:hAnsi="Arial" w:cs="Arial"/>
          <w:b/>
          <w:bCs/>
          <w:color w:val="1F1F1F"/>
          <w:szCs w:val="33"/>
        </w:rPr>
        <w:t>Núcleos de Aprendizaje Prioritarios</w:t>
      </w:r>
      <w:r w:rsidRPr="00E8681A">
        <w:rPr>
          <w:rFonts w:ascii="Arial" w:hAnsi="Arial" w:cs="Arial"/>
          <w:color w:val="1F1F1F"/>
          <w:szCs w:val="33"/>
        </w:rPr>
        <w:t xml:space="preserve"> (NAP), porque cada provincia enseñaba de una forma muy heterogénea; no había una base común para todo el país”. </w:t>
      </w:r>
      <w:proofErr w:type="spellStart"/>
      <w:r w:rsidRPr="00E8681A">
        <w:rPr>
          <w:rFonts w:ascii="Arial" w:hAnsi="Arial" w:cs="Arial"/>
          <w:color w:val="1F1F1F"/>
          <w:szCs w:val="33"/>
        </w:rPr>
        <w:t>Filmus</w:t>
      </w:r>
      <w:proofErr w:type="spellEnd"/>
      <w:r w:rsidRPr="00E8681A">
        <w:rPr>
          <w:rFonts w:ascii="Arial" w:hAnsi="Arial" w:cs="Arial"/>
          <w:color w:val="1F1F1F"/>
          <w:szCs w:val="33"/>
        </w:rPr>
        <w:t xml:space="preserve"> destaca el </w:t>
      </w:r>
      <w:r w:rsidRPr="00E8681A">
        <w:rPr>
          <w:rFonts w:ascii="Arial" w:hAnsi="Arial" w:cs="Arial"/>
          <w:b/>
          <w:bCs/>
          <w:color w:val="1F1F1F"/>
          <w:szCs w:val="33"/>
        </w:rPr>
        <w:t>proceso participativo</w:t>
      </w:r>
      <w:r w:rsidRPr="00E8681A">
        <w:rPr>
          <w:rFonts w:ascii="Arial" w:hAnsi="Arial" w:cs="Arial"/>
          <w:color w:val="1F1F1F"/>
          <w:szCs w:val="33"/>
        </w:rPr>
        <w:t> detrás de la sanción de esta ley: “Participaron tres millones de personas, quizás el proceso de participación política más importante de la Argentina”.</w:t>
      </w:r>
    </w:p>
    <w:p w:rsidR="00E8681A" w:rsidRPr="00E8681A" w:rsidRDefault="00E8681A" w:rsidP="00E8681A">
      <w:pPr>
        <w:pStyle w:val="paragraph"/>
        <w:spacing w:before="0" w:beforeAutospacing="0" w:after="360" w:afterAutospacing="0"/>
        <w:jc w:val="both"/>
        <w:rPr>
          <w:rFonts w:ascii="Arial" w:hAnsi="Arial" w:cs="Arial"/>
          <w:color w:val="1F1F1F"/>
          <w:szCs w:val="33"/>
        </w:rPr>
      </w:pPr>
      <w:r w:rsidRPr="00E8681A">
        <w:rPr>
          <w:rFonts w:ascii="Arial" w:hAnsi="Arial" w:cs="Arial"/>
          <w:color w:val="1F1F1F"/>
          <w:szCs w:val="33"/>
        </w:rPr>
        <w:t>Sin embargo, el exministro </w:t>
      </w:r>
      <w:r w:rsidRPr="00E8681A">
        <w:rPr>
          <w:rFonts w:ascii="Arial" w:hAnsi="Arial" w:cs="Arial"/>
          <w:b/>
          <w:bCs/>
          <w:color w:val="1F1F1F"/>
          <w:szCs w:val="33"/>
        </w:rPr>
        <w:t xml:space="preserve">Esteban </w:t>
      </w:r>
      <w:proofErr w:type="spellStart"/>
      <w:r w:rsidRPr="00E8681A">
        <w:rPr>
          <w:rFonts w:ascii="Arial" w:hAnsi="Arial" w:cs="Arial"/>
          <w:b/>
          <w:bCs/>
          <w:color w:val="1F1F1F"/>
          <w:szCs w:val="33"/>
        </w:rPr>
        <w:t>Bullrich</w:t>
      </w:r>
      <w:proofErr w:type="spellEnd"/>
      <w:r w:rsidRPr="00E8681A">
        <w:rPr>
          <w:rFonts w:ascii="Arial" w:hAnsi="Arial" w:cs="Arial"/>
          <w:color w:val="1F1F1F"/>
          <w:szCs w:val="33"/>
        </w:rPr>
        <w:t xml:space="preserve">, que en esos años era diputado nacional miembro de la Comisión de Educación, disiente: sostiene que esta ley “pasó como un paquete cerrado por el Congreso y con errores, por </w:t>
      </w:r>
      <w:proofErr w:type="gramStart"/>
      <w:r w:rsidRPr="00E8681A">
        <w:rPr>
          <w:rFonts w:ascii="Arial" w:hAnsi="Arial" w:cs="Arial"/>
          <w:color w:val="1F1F1F"/>
          <w:szCs w:val="33"/>
        </w:rPr>
        <w:t>ejemplo</w:t>
      </w:r>
      <w:proofErr w:type="gramEnd"/>
      <w:r w:rsidRPr="00E8681A">
        <w:rPr>
          <w:rFonts w:ascii="Arial" w:hAnsi="Arial" w:cs="Arial"/>
          <w:color w:val="1F1F1F"/>
          <w:szCs w:val="33"/>
        </w:rPr>
        <w:t xml:space="preserve"> en las cuestiones relacionadas con el impacto de la tecnología y la educación a distancia”. </w:t>
      </w:r>
      <w:proofErr w:type="spellStart"/>
      <w:r w:rsidRPr="00E8681A">
        <w:rPr>
          <w:rFonts w:ascii="Arial" w:hAnsi="Arial" w:cs="Arial"/>
          <w:color w:val="1F1F1F"/>
          <w:szCs w:val="33"/>
        </w:rPr>
        <w:t>Bullrich</w:t>
      </w:r>
      <w:proofErr w:type="spellEnd"/>
      <w:r w:rsidRPr="00E8681A">
        <w:rPr>
          <w:rFonts w:ascii="Arial" w:hAnsi="Arial" w:cs="Arial"/>
          <w:color w:val="1F1F1F"/>
          <w:szCs w:val="33"/>
        </w:rPr>
        <w:t xml:space="preserve"> sí destaca, en cambio, el proceso de discusión de la Ley de Financiamiento, “ampliamente debatida, con apertura a las contribuciones y aportes de todos los sectores”.</w:t>
      </w:r>
    </w:p>
    <w:p w:rsidR="00E8681A" w:rsidRDefault="00E8681A" w:rsidP="00E8681A">
      <w:pPr>
        <w:rPr>
          <w:sz w:val="32"/>
          <w:lang w:val="es-AR"/>
        </w:rPr>
      </w:pPr>
      <w:r>
        <w:rPr>
          <w:sz w:val="32"/>
          <w:lang w:val="es-AR"/>
        </w:rPr>
        <w:t>Investigar y comentar…</w:t>
      </w:r>
    </w:p>
    <w:p w:rsidR="00E8681A" w:rsidRPr="0008251D" w:rsidRDefault="00E8681A" w:rsidP="00E8681A">
      <w:pPr>
        <w:rPr>
          <w:sz w:val="32"/>
          <w:lang w:val="es-AR"/>
        </w:rPr>
      </w:pPr>
      <w:r w:rsidRPr="0008251D">
        <w:rPr>
          <w:sz w:val="32"/>
          <w:lang w:val="es-AR"/>
        </w:rPr>
        <w:t>¿Cuál es el sentido de la escuela</w:t>
      </w:r>
      <w:r>
        <w:rPr>
          <w:sz w:val="32"/>
          <w:lang w:val="es-AR"/>
        </w:rPr>
        <w:t xml:space="preserve"> según</w:t>
      </w:r>
      <w:r w:rsidRPr="0008251D">
        <w:rPr>
          <w:sz w:val="32"/>
          <w:lang w:val="es-AR"/>
        </w:rPr>
        <w:t xml:space="preserve"> UNICEF</w:t>
      </w:r>
      <w:r>
        <w:rPr>
          <w:sz w:val="32"/>
          <w:lang w:val="es-AR"/>
        </w:rPr>
        <w:t>?</w:t>
      </w:r>
    </w:p>
    <w:p w:rsidR="00E8681A" w:rsidRPr="00E8681A" w:rsidRDefault="00E8681A" w:rsidP="00E8681A">
      <w:pPr>
        <w:rPr>
          <w:sz w:val="32"/>
          <w:lang w:val="es-AR"/>
        </w:rPr>
      </w:pPr>
      <w:r w:rsidRPr="00E8681A">
        <w:rPr>
          <w:sz w:val="32"/>
          <w:lang w:val="es-AR"/>
        </w:rPr>
        <w:t>Completar la información anterior con una breve reseña de la ley 1420</w:t>
      </w:r>
    </w:p>
    <w:p w:rsidR="00E8681A" w:rsidRDefault="00E8681A" w:rsidP="00E8681A">
      <w:pPr>
        <w:rPr>
          <w:rFonts w:ascii="Arial" w:hAnsi="Arial" w:cs="Arial"/>
          <w:color w:val="333333"/>
          <w:sz w:val="29"/>
          <w:szCs w:val="29"/>
          <w:shd w:val="clear" w:color="auto" w:fill="FFFFFF"/>
          <w:lang w:val="es-AR"/>
        </w:rPr>
      </w:pPr>
    </w:p>
    <w:p w:rsidR="00E8681A" w:rsidRDefault="00E8681A" w:rsidP="00E8681A">
      <w:pPr>
        <w:rPr>
          <w:rFonts w:ascii="Arial" w:hAnsi="Arial" w:cs="Arial"/>
          <w:color w:val="333333"/>
          <w:sz w:val="29"/>
          <w:szCs w:val="29"/>
          <w:shd w:val="clear" w:color="auto" w:fill="FFFFFF"/>
          <w:lang w:val="es-AR"/>
        </w:rPr>
      </w:pPr>
    </w:p>
    <w:p w:rsidR="00E8681A" w:rsidRDefault="00E8681A" w:rsidP="00E8681A">
      <w:pPr>
        <w:rPr>
          <w:rFonts w:ascii="Arial" w:hAnsi="Arial" w:cs="Arial"/>
          <w:color w:val="333333"/>
          <w:sz w:val="29"/>
          <w:szCs w:val="29"/>
          <w:shd w:val="clear" w:color="auto" w:fill="FFFFFF"/>
          <w:lang w:val="es-AR"/>
        </w:rPr>
      </w:pPr>
      <w:r>
        <w:rPr>
          <w:rFonts w:ascii="Arial" w:hAnsi="Arial" w:cs="Arial"/>
          <w:color w:val="333333"/>
          <w:sz w:val="29"/>
          <w:szCs w:val="29"/>
          <w:shd w:val="clear" w:color="auto" w:fill="FFFFFF"/>
          <w:lang w:val="es-AR"/>
        </w:rPr>
        <w:t>Unidad 2</w:t>
      </w:r>
    </w:p>
    <w:p w:rsidR="00E8681A" w:rsidRDefault="00E8681A" w:rsidP="00E8681A">
      <w:pPr>
        <w:rPr>
          <w:rFonts w:ascii="Arial" w:hAnsi="Arial" w:cs="Arial"/>
          <w:color w:val="333333"/>
          <w:sz w:val="29"/>
          <w:szCs w:val="29"/>
          <w:shd w:val="clear" w:color="auto" w:fill="FFFFFF"/>
          <w:lang w:val="es-AR"/>
        </w:rPr>
      </w:pPr>
      <w:r>
        <w:rPr>
          <w:rFonts w:ascii="Arial" w:hAnsi="Arial" w:cs="Arial"/>
          <w:color w:val="333333"/>
          <w:sz w:val="29"/>
          <w:szCs w:val="29"/>
          <w:shd w:val="clear" w:color="auto" w:fill="FFFFFF"/>
          <w:lang w:val="es-AR"/>
        </w:rPr>
        <w:t>Antecedentes de la LEN</w:t>
      </w:r>
    </w:p>
    <w:p w:rsidR="00E8681A" w:rsidRDefault="00E8681A" w:rsidP="00E8681A">
      <w:pPr>
        <w:rPr>
          <w:lang w:val="es-AR"/>
        </w:rPr>
      </w:pPr>
      <w:r w:rsidRPr="0008251D">
        <w:rPr>
          <w:noProof/>
          <w:lang w:val="es-AR" w:eastAsia="es-AR"/>
        </w:rPr>
        <w:lastRenderedPageBreak/>
        <w:drawing>
          <wp:inline distT="0" distB="0" distL="0" distR="0" wp14:anchorId="51A20ACF" wp14:editId="50858B87">
            <wp:extent cx="5943600" cy="17246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724660"/>
                    </a:xfrm>
                    <a:prstGeom prst="rect">
                      <a:avLst/>
                    </a:prstGeom>
                  </pic:spPr>
                </pic:pic>
              </a:graphicData>
            </a:graphic>
          </wp:inline>
        </w:drawing>
      </w:r>
    </w:p>
    <w:p w:rsidR="00E8681A" w:rsidRDefault="00E8681A" w:rsidP="00E8681A">
      <w:pPr>
        <w:rPr>
          <w:lang w:val="es-AR"/>
        </w:rPr>
      </w:pPr>
      <w:r>
        <w:rPr>
          <w:lang w:val="es-AR"/>
        </w:rPr>
        <w:t>Estructura:</w:t>
      </w:r>
    </w:p>
    <w:p w:rsidR="00E8681A" w:rsidRDefault="00E8681A" w:rsidP="00E8681A">
      <w:pPr>
        <w:rPr>
          <w:lang w:val="es-AR"/>
        </w:rPr>
      </w:pPr>
      <w:r w:rsidRPr="0008251D">
        <w:rPr>
          <w:noProof/>
          <w:lang w:val="es-AR" w:eastAsia="es-AR"/>
        </w:rPr>
        <w:drawing>
          <wp:inline distT="0" distB="0" distL="0" distR="0" wp14:anchorId="2E469C33" wp14:editId="65E3286B">
            <wp:extent cx="4429743" cy="3953427"/>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29743" cy="3953427"/>
                    </a:xfrm>
                    <a:prstGeom prst="rect">
                      <a:avLst/>
                    </a:prstGeom>
                  </pic:spPr>
                </pic:pic>
              </a:graphicData>
            </a:graphic>
          </wp:inline>
        </w:drawing>
      </w:r>
    </w:p>
    <w:p w:rsidR="00E8681A" w:rsidRDefault="00E8681A" w:rsidP="00E8681A">
      <w:pPr>
        <w:rPr>
          <w:lang w:val="es-AR"/>
        </w:rPr>
      </w:pPr>
      <w:r>
        <w:rPr>
          <w:lang w:val="es-AR"/>
        </w:rPr>
        <w:t>Le educación se entiende como:</w:t>
      </w:r>
    </w:p>
    <w:p w:rsidR="00E8681A" w:rsidRDefault="00E8681A" w:rsidP="00E8681A">
      <w:pPr>
        <w:rPr>
          <w:lang w:val="es-AR"/>
        </w:rPr>
      </w:pPr>
      <w:r w:rsidRPr="0008251D">
        <w:rPr>
          <w:noProof/>
          <w:lang w:val="es-AR" w:eastAsia="es-AR"/>
        </w:rPr>
        <w:lastRenderedPageBreak/>
        <w:drawing>
          <wp:inline distT="0" distB="0" distL="0" distR="0" wp14:anchorId="56926D2F" wp14:editId="4A737585">
            <wp:extent cx="5943600" cy="29940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994025"/>
                    </a:xfrm>
                    <a:prstGeom prst="rect">
                      <a:avLst/>
                    </a:prstGeom>
                  </pic:spPr>
                </pic:pic>
              </a:graphicData>
            </a:graphic>
          </wp:inline>
        </w:drawing>
      </w:r>
    </w:p>
    <w:p w:rsidR="00E8681A" w:rsidRDefault="00E8681A" w:rsidP="00E8681A">
      <w:pPr>
        <w:rPr>
          <w:lang w:val="es-AR"/>
        </w:rPr>
      </w:pPr>
      <w:r>
        <w:rPr>
          <w:lang w:val="es-AR"/>
        </w:rPr>
        <w:t>Se estructura:</w:t>
      </w:r>
    </w:p>
    <w:p w:rsidR="00E8681A" w:rsidRDefault="00E8681A" w:rsidP="00E8681A">
      <w:pPr>
        <w:rPr>
          <w:lang w:val="es-AR"/>
        </w:rPr>
      </w:pPr>
      <w:r w:rsidRPr="003221FD">
        <w:rPr>
          <w:noProof/>
          <w:lang w:val="es-AR" w:eastAsia="es-AR"/>
        </w:rPr>
        <w:drawing>
          <wp:inline distT="0" distB="0" distL="0" distR="0" wp14:anchorId="4A705A2A" wp14:editId="533FD7D8">
            <wp:extent cx="5943600" cy="366268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662680"/>
                    </a:xfrm>
                    <a:prstGeom prst="rect">
                      <a:avLst/>
                    </a:prstGeom>
                  </pic:spPr>
                </pic:pic>
              </a:graphicData>
            </a:graphic>
          </wp:inline>
        </w:drawing>
      </w:r>
    </w:p>
    <w:p w:rsidR="00E8681A" w:rsidRDefault="00E8681A" w:rsidP="00E8681A">
      <w:pPr>
        <w:rPr>
          <w:lang w:val="es-AR"/>
        </w:rPr>
      </w:pPr>
    </w:p>
    <w:p w:rsidR="00E8681A" w:rsidRDefault="00E8681A" w:rsidP="00E8681A">
      <w:pPr>
        <w:rPr>
          <w:lang w:val="es-AR"/>
        </w:rPr>
      </w:pPr>
    </w:p>
    <w:p w:rsidR="00E8681A" w:rsidRDefault="00E8681A" w:rsidP="00E8681A">
      <w:pPr>
        <w:rPr>
          <w:lang w:val="es-AR"/>
        </w:rPr>
      </w:pPr>
    </w:p>
    <w:p w:rsidR="00E8681A" w:rsidRPr="00B5116F" w:rsidRDefault="00E8681A" w:rsidP="00E8681A">
      <w:pPr>
        <w:rPr>
          <w:lang w:val="es-AR"/>
        </w:rPr>
      </w:pPr>
      <w:r w:rsidRPr="00B5116F">
        <w:rPr>
          <w:rFonts w:ascii="Arial" w:hAnsi="Arial" w:cs="Arial"/>
          <w:b/>
          <w:bCs/>
          <w:color w:val="333333"/>
          <w:sz w:val="21"/>
          <w:szCs w:val="21"/>
          <w:shd w:val="clear" w:color="auto" w:fill="FFFFFF"/>
          <w:lang w:val="es-AR"/>
        </w:rPr>
        <w:lastRenderedPageBreak/>
        <w:t>Art. 14</w:t>
      </w:r>
      <w:r w:rsidRPr="00B5116F">
        <w:rPr>
          <w:rFonts w:ascii="Arial" w:hAnsi="Arial" w:cs="Arial"/>
          <w:color w:val="333333"/>
          <w:sz w:val="21"/>
          <w:szCs w:val="21"/>
          <w:shd w:val="clear" w:color="auto" w:fill="FFFFFF"/>
          <w:lang w:val="es-AR"/>
        </w:rPr>
        <w:t>.- Todos los habitantes de la Nación gozan de los siguientes derechos conforme a las leyes que reglamenten su ejercicio; a saber: de trabajar y ejercer toda industria lícita; de navegar y comerciar; de peticionar a las autoridades; de entrar, permanecer, transitar y salir del territorio argentino; de publicar sus ideas por la prensa sin censura previa; de usar y disponer de su propiedad; de asociarse con fines útiles; de profesar libremente su culto; de enseñar y aprender.</w:t>
      </w:r>
    </w:p>
    <w:p w:rsidR="00E8681A" w:rsidRDefault="00E8681A" w:rsidP="00E8681A">
      <w:pPr>
        <w:rPr>
          <w:lang w:val="es-AR"/>
        </w:rPr>
      </w:pPr>
    </w:p>
    <w:p w:rsidR="00E8681A" w:rsidRPr="00E8681A" w:rsidRDefault="00E8681A" w:rsidP="00E8681A">
      <w:pPr>
        <w:rPr>
          <w:b/>
          <w:sz w:val="28"/>
          <w:lang w:val="es-AR"/>
        </w:rPr>
      </w:pPr>
      <w:r w:rsidRPr="00E8681A">
        <w:rPr>
          <w:b/>
          <w:sz w:val="28"/>
          <w:lang w:val="es-AR"/>
        </w:rPr>
        <w:t>Guía de actividades</w:t>
      </w:r>
    </w:p>
    <w:p w:rsidR="00E8681A" w:rsidRPr="00E8681A" w:rsidRDefault="00E8681A" w:rsidP="00E8681A">
      <w:pPr>
        <w:pStyle w:val="Prrafodelista"/>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val="es-AR" w:eastAsia="es-AR"/>
        </w:rPr>
      </w:pPr>
      <w:r w:rsidRPr="00E8681A">
        <w:rPr>
          <w:rFonts w:ascii="Segoe UI" w:eastAsia="Times New Roman" w:hAnsi="Segoe UI" w:cs="Segoe UI"/>
          <w:color w:val="0D0D0D"/>
          <w:sz w:val="24"/>
          <w:szCs w:val="24"/>
          <w:lang w:val="es-AR" w:eastAsia="es-AR"/>
        </w:rPr>
        <w:t>Investigar: que son políticas públicas</w:t>
      </w:r>
    </w:p>
    <w:p w:rsidR="00E8681A" w:rsidRPr="00E8681A" w:rsidRDefault="00E8681A" w:rsidP="00E8681A">
      <w:pPr>
        <w:pStyle w:val="Prrafodelista"/>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val="es-AR" w:eastAsia="es-AR"/>
        </w:rPr>
      </w:pPr>
      <w:r w:rsidRPr="00E8681A">
        <w:rPr>
          <w:rFonts w:ascii="Segoe UI" w:eastAsia="Times New Roman" w:hAnsi="Segoe UI" w:cs="Segoe UI"/>
          <w:color w:val="0D0D0D"/>
          <w:sz w:val="24"/>
          <w:szCs w:val="24"/>
          <w:lang w:val="es-AR" w:eastAsia="es-AR"/>
        </w:rPr>
        <w:t>¿Cuál es el propósito u objetivo de la Ley de Educación 26.206 según lo establecido en las primeras páginas?</w:t>
      </w:r>
    </w:p>
    <w:p w:rsidR="00E8681A" w:rsidRPr="00E8681A" w:rsidRDefault="00E8681A" w:rsidP="00E8681A">
      <w:pPr>
        <w:pStyle w:val="Prrafodelista"/>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val="es-AR" w:eastAsia="es-AR"/>
        </w:rPr>
      </w:pPr>
      <w:r w:rsidRPr="00E8681A">
        <w:rPr>
          <w:rFonts w:ascii="Segoe UI" w:eastAsia="Times New Roman" w:hAnsi="Segoe UI" w:cs="Segoe UI"/>
          <w:color w:val="0D0D0D"/>
          <w:sz w:val="24"/>
          <w:szCs w:val="24"/>
          <w:lang w:val="es-AR" w:eastAsia="es-AR"/>
        </w:rPr>
        <w:t>¿Cómo define la ley el derecho a la educación?</w:t>
      </w:r>
    </w:p>
    <w:p w:rsidR="00E8681A" w:rsidRPr="00E8681A" w:rsidRDefault="00E8681A" w:rsidP="00E8681A">
      <w:pPr>
        <w:pStyle w:val="Prrafodelista"/>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val="es-AR" w:eastAsia="es-AR"/>
        </w:rPr>
      </w:pPr>
      <w:r w:rsidRPr="00E8681A">
        <w:rPr>
          <w:rFonts w:ascii="Segoe UI" w:eastAsia="Times New Roman" w:hAnsi="Segoe UI" w:cs="Segoe UI"/>
          <w:color w:val="0D0D0D"/>
          <w:sz w:val="24"/>
          <w:szCs w:val="24"/>
          <w:lang w:val="es-AR" w:eastAsia="es-AR"/>
        </w:rPr>
        <w:t>Según la ley, ¿cuáles son los componentes clave de la calidad educativa?</w:t>
      </w:r>
    </w:p>
    <w:p w:rsidR="00E8681A" w:rsidRPr="00E8681A" w:rsidRDefault="00E8681A" w:rsidP="00E8681A">
      <w:pPr>
        <w:pStyle w:val="Prrafodelista"/>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val="es-AR" w:eastAsia="es-AR"/>
        </w:rPr>
      </w:pPr>
      <w:r w:rsidRPr="00E8681A">
        <w:rPr>
          <w:rFonts w:ascii="Segoe UI" w:eastAsia="Times New Roman" w:hAnsi="Segoe UI" w:cs="Segoe UI"/>
          <w:color w:val="0D0D0D"/>
          <w:sz w:val="24"/>
          <w:szCs w:val="24"/>
          <w:lang w:val="es-AR" w:eastAsia="es-AR"/>
        </w:rPr>
        <w:t>¿Cómo aborda la ley el tema de la equidad e inclusión educativa?</w:t>
      </w:r>
    </w:p>
    <w:p w:rsidR="00E8681A" w:rsidRPr="00E8681A" w:rsidRDefault="00E8681A" w:rsidP="00E8681A">
      <w:pPr>
        <w:pStyle w:val="Prrafodelista"/>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val="es-AR" w:eastAsia="es-AR"/>
        </w:rPr>
      </w:pPr>
      <w:r w:rsidRPr="00E8681A">
        <w:rPr>
          <w:rFonts w:ascii="Segoe UI" w:eastAsia="Times New Roman" w:hAnsi="Segoe UI" w:cs="Segoe UI"/>
          <w:color w:val="0D0D0D"/>
          <w:sz w:val="24"/>
          <w:szCs w:val="24"/>
          <w:lang w:val="es-AR" w:eastAsia="es-AR"/>
        </w:rPr>
        <w:t>¿Qué rol desempeña el Estado en garantizar el acceso a la educación, según lo mencionado en las páginas iniciales?</w:t>
      </w:r>
    </w:p>
    <w:p w:rsidR="00E8681A" w:rsidRPr="00E8681A" w:rsidRDefault="00E8681A" w:rsidP="00E8681A">
      <w:pPr>
        <w:pStyle w:val="Prrafodelista"/>
        <w:numPr>
          <w:ilvl w:val="0"/>
          <w:numId w:val="3"/>
        </w:numPr>
        <w:rPr>
          <w:rFonts w:ascii="Segoe UI" w:eastAsia="Times New Roman" w:hAnsi="Segoe UI" w:cs="Segoe UI"/>
          <w:color w:val="0D0D0D"/>
          <w:sz w:val="24"/>
          <w:szCs w:val="24"/>
          <w:lang w:val="es-AR" w:eastAsia="es-AR"/>
        </w:rPr>
      </w:pPr>
      <w:r w:rsidRPr="00E8681A">
        <w:rPr>
          <w:rFonts w:ascii="Segoe UI" w:eastAsia="Times New Roman" w:hAnsi="Segoe UI" w:cs="Segoe UI"/>
          <w:color w:val="0D0D0D"/>
          <w:sz w:val="24"/>
          <w:szCs w:val="24"/>
          <w:lang w:val="es-AR" w:eastAsia="es-AR"/>
        </w:rPr>
        <w:t>¿Puedes identificar alguna medida o estrategia específica propuesta en la ley para mejorar la calidad y la equidad educativa?</w:t>
      </w:r>
    </w:p>
    <w:p w:rsidR="00E8681A" w:rsidRPr="00E8681A" w:rsidRDefault="00E8681A" w:rsidP="00E8681A">
      <w:pPr>
        <w:rPr>
          <w:rFonts w:ascii="Segoe UI" w:eastAsia="Times New Roman" w:hAnsi="Segoe UI" w:cs="Segoe UI"/>
          <w:color w:val="0D0D0D"/>
          <w:sz w:val="24"/>
          <w:szCs w:val="24"/>
          <w:lang w:val="es-AR" w:eastAsia="es-AR"/>
        </w:rPr>
      </w:pPr>
    </w:p>
    <w:sectPr w:rsidR="00E8681A" w:rsidRPr="00E8681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FDE" w:rsidRDefault="00F07FDE" w:rsidP="00124135">
      <w:pPr>
        <w:spacing w:after="0" w:line="240" w:lineRule="auto"/>
      </w:pPr>
      <w:r>
        <w:separator/>
      </w:r>
    </w:p>
  </w:endnote>
  <w:endnote w:type="continuationSeparator" w:id="0">
    <w:p w:rsidR="00F07FDE" w:rsidRDefault="00F07FDE" w:rsidP="0012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FDE" w:rsidRDefault="00F07FDE" w:rsidP="00124135">
      <w:pPr>
        <w:spacing w:after="0" w:line="240" w:lineRule="auto"/>
      </w:pPr>
      <w:r>
        <w:separator/>
      </w:r>
    </w:p>
  </w:footnote>
  <w:footnote w:type="continuationSeparator" w:id="0">
    <w:p w:rsidR="00F07FDE" w:rsidRDefault="00F07FDE" w:rsidP="00124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9293C"/>
    <w:multiLevelType w:val="multilevel"/>
    <w:tmpl w:val="28387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BB1990"/>
    <w:multiLevelType w:val="multilevel"/>
    <w:tmpl w:val="CC04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CD56D0"/>
    <w:multiLevelType w:val="hybridMultilevel"/>
    <w:tmpl w:val="8056CC7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41"/>
    <w:rsid w:val="00124135"/>
    <w:rsid w:val="00B54B41"/>
    <w:rsid w:val="00BC5CFE"/>
    <w:rsid w:val="00E8681A"/>
    <w:rsid w:val="00F0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0769"/>
  <w15:chartTrackingRefBased/>
  <w15:docId w15:val="{C810F90C-C765-4192-9DDE-647B4701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81A"/>
  </w:style>
  <w:style w:type="paragraph" w:styleId="Ttulo2">
    <w:name w:val="heading 2"/>
    <w:basedOn w:val="Normal"/>
    <w:link w:val="Ttulo2Car"/>
    <w:uiPriority w:val="9"/>
    <w:qFormat/>
    <w:rsid w:val="00E8681A"/>
    <w:pPr>
      <w:spacing w:before="100" w:beforeAutospacing="1" w:after="100" w:afterAutospacing="1" w:line="240" w:lineRule="auto"/>
      <w:outlineLvl w:val="1"/>
    </w:pPr>
    <w:rPr>
      <w:rFonts w:ascii="Times New Roman" w:eastAsia="Times New Roman" w:hAnsi="Times New Roman" w:cs="Times New Roman"/>
      <w:b/>
      <w:bCs/>
      <w:sz w:val="36"/>
      <w:szCs w:val="36"/>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8681A"/>
    <w:rPr>
      <w:rFonts w:ascii="Times New Roman" w:eastAsia="Times New Roman" w:hAnsi="Times New Roman" w:cs="Times New Roman"/>
      <w:b/>
      <w:bCs/>
      <w:sz w:val="36"/>
      <w:szCs w:val="36"/>
      <w:lang w:val="es-AR" w:eastAsia="es-AR"/>
    </w:rPr>
  </w:style>
  <w:style w:type="paragraph" w:customStyle="1" w:styleId="paragraph">
    <w:name w:val="paragraph"/>
    <w:basedOn w:val="Normal"/>
    <w:rsid w:val="00E8681A"/>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Prrafodelista">
    <w:name w:val="List Paragraph"/>
    <w:basedOn w:val="Normal"/>
    <w:uiPriority w:val="34"/>
    <w:qFormat/>
    <w:rsid w:val="00E8681A"/>
    <w:pPr>
      <w:ind w:left="720"/>
      <w:contextualSpacing/>
    </w:pPr>
  </w:style>
  <w:style w:type="paragraph" w:styleId="Encabezado">
    <w:name w:val="header"/>
    <w:basedOn w:val="Normal"/>
    <w:link w:val="EncabezadoCar"/>
    <w:uiPriority w:val="99"/>
    <w:unhideWhenUsed/>
    <w:rsid w:val="0012413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24135"/>
  </w:style>
  <w:style w:type="paragraph" w:styleId="Piedepgina">
    <w:name w:val="footer"/>
    <w:basedOn w:val="Normal"/>
    <w:link w:val="PiedepginaCar"/>
    <w:uiPriority w:val="99"/>
    <w:unhideWhenUsed/>
    <w:rsid w:val="0012413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24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816</Words>
  <Characters>4491</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Olmos</dc:creator>
  <cp:keywords/>
  <dc:description/>
  <cp:lastModifiedBy>German Olmos</cp:lastModifiedBy>
  <cp:revision>3</cp:revision>
  <dcterms:created xsi:type="dcterms:W3CDTF">2025-05-28T03:02:00Z</dcterms:created>
  <dcterms:modified xsi:type="dcterms:W3CDTF">2025-05-28T03:07:00Z</dcterms:modified>
</cp:coreProperties>
</file>