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DB5D" w14:textId="77777777" w:rsidR="00B63FC5" w:rsidRDefault="00B63FC5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145D42AC" w14:textId="77777777" w:rsidR="00CC2B7F" w:rsidRDefault="008124C0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0489EB" wp14:editId="3B2BB6F7">
            <wp:simplePos x="0" y="0"/>
            <wp:positionH relativeFrom="margin">
              <wp:posOffset>2215515</wp:posOffset>
            </wp:positionH>
            <wp:positionV relativeFrom="paragraph">
              <wp:posOffset>11430</wp:posOffset>
            </wp:positionV>
            <wp:extent cx="1541780" cy="1866900"/>
            <wp:effectExtent l="0" t="0" r="1270" b="0"/>
            <wp:wrapTight wrapText="bothSides">
              <wp:wrapPolygon edited="0">
                <wp:start x="0" y="0"/>
                <wp:lineTo x="0" y="21380"/>
                <wp:lineTo x="21351" y="21380"/>
                <wp:lineTo x="21351" y="0"/>
                <wp:lineTo x="0" y="0"/>
              </wp:wrapPolygon>
            </wp:wrapTight>
            <wp:docPr id="493456366" name="Imagen 1" descr="Colegio Merceditas De San Martín CESAP SAN 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Merceditas De San Martín CESAP SAN JU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389B0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46561089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6EC52B50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1D1B8A36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4491EDB1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2D58825C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378DBBD8" w14:textId="77777777" w:rsidR="00CC2B7F" w:rsidRDefault="008124C0" w:rsidP="008124C0">
      <w:pPr>
        <w:spacing w:line="360" w:lineRule="auto"/>
        <w:ind w:left="284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Colegio Merceditas De San Martin C.E.S.A.P</w:t>
      </w:r>
    </w:p>
    <w:p w14:paraId="536C1EB1" w14:textId="77777777" w:rsidR="008124C0" w:rsidRDefault="008124C0" w:rsidP="008124C0">
      <w:pPr>
        <w:spacing w:line="360" w:lineRule="auto"/>
        <w:ind w:left="284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Educación Secundaria</w:t>
      </w:r>
    </w:p>
    <w:p w14:paraId="75E2423E" w14:textId="77777777" w:rsidR="008124C0" w:rsidRDefault="008124C0" w:rsidP="008124C0">
      <w:pPr>
        <w:spacing w:line="360" w:lineRule="auto"/>
        <w:ind w:left="284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Ciencias Naturales</w:t>
      </w:r>
    </w:p>
    <w:p w14:paraId="04142B7B" w14:textId="73321E32" w:rsidR="008124C0" w:rsidRDefault="00BD4C92" w:rsidP="008124C0">
      <w:pPr>
        <w:spacing w:line="360" w:lineRule="auto"/>
        <w:ind w:left="284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Educación Física</w:t>
      </w:r>
    </w:p>
    <w:p w14:paraId="14D4B0FA" w14:textId="13C4634C" w:rsidR="008124C0" w:rsidRDefault="00BD4C92" w:rsidP="008124C0">
      <w:pPr>
        <w:spacing w:line="360" w:lineRule="auto"/>
        <w:ind w:left="284"/>
        <w:jc w:val="center"/>
        <w:rPr>
          <w:rFonts w:ascii="Arial" w:hAnsi="Arial" w:cs="Arial"/>
          <w:sz w:val="24"/>
          <w:szCs w:val="24"/>
          <w:lang w:val="es-MX"/>
        </w:rPr>
      </w:pPr>
      <w:r w:rsidRPr="00BD4C92">
        <w:rPr>
          <w:rFonts w:ascii="Arial" w:hAnsi="Arial" w:cs="Arial"/>
          <w:sz w:val="24"/>
          <w:szCs w:val="24"/>
        </w:rPr>
        <w:t>“Energía para la actividad celular (sistemas energéticos)</w:t>
      </w:r>
    </w:p>
    <w:p w14:paraId="3E962F80" w14:textId="5534C334" w:rsidR="00C73914" w:rsidRDefault="00C73914" w:rsidP="00C73914">
      <w:pPr>
        <w:spacing w:line="360" w:lineRule="auto"/>
        <w:ind w:left="28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Nombre y Apellido: </w:t>
      </w:r>
      <w:r w:rsidR="00FE257E">
        <w:rPr>
          <w:rFonts w:ascii="Arial" w:hAnsi="Arial" w:cs="Arial"/>
          <w:sz w:val="24"/>
          <w:szCs w:val="24"/>
          <w:lang w:val="es-MX"/>
        </w:rPr>
        <w:t>Juan Pablo Solar, Tiziano Sanchez, Tomas Almonacid y Joaquín</w:t>
      </w:r>
      <w:r w:rsidR="00FE257E">
        <w:rPr>
          <w:rFonts w:ascii="Arial" w:hAnsi="Arial" w:cs="Arial"/>
          <w:sz w:val="24"/>
          <w:szCs w:val="24"/>
          <w:lang w:val="es-MX"/>
        </w:rPr>
        <w:t xml:space="preserve"> Ávila</w:t>
      </w:r>
      <w:r>
        <w:rPr>
          <w:rFonts w:ascii="Arial" w:hAnsi="Arial" w:cs="Arial"/>
          <w:sz w:val="24"/>
          <w:szCs w:val="24"/>
          <w:lang w:val="es-MX"/>
        </w:rPr>
        <w:br/>
        <w:t>Curso: 6to B</w:t>
      </w:r>
      <w:r>
        <w:rPr>
          <w:rFonts w:ascii="Arial" w:hAnsi="Arial" w:cs="Arial"/>
          <w:sz w:val="24"/>
          <w:szCs w:val="24"/>
          <w:lang w:val="es-MX"/>
        </w:rPr>
        <w:br/>
        <w:t>Ciclo Lectivo: 2025</w:t>
      </w:r>
    </w:p>
    <w:p w14:paraId="22A922AF" w14:textId="77777777" w:rsidR="008124C0" w:rsidRDefault="008124C0" w:rsidP="008124C0">
      <w:pPr>
        <w:spacing w:line="360" w:lineRule="auto"/>
        <w:ind w:left="284"/>
        <w:rPr>
          <w:rFonts w:ascii="Arial" w:hAnsi="Arial" w:cs="Arial"/>
          <w:sz w:val="24"/>
          <w:szCs w:val="24"/>
          <w:lang w:val="es-MX"/>
        </w:rPr>
      </w:pPr>
    </w:p>
    <w:p w14:paraId="4DA45D9A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35A7C878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00C2702D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3E5613E3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0745C562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1AB1FE58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  <w:lang w:val="es-MX"/>
        </w:rPr>
      </w:pPr>
    </w:p>
    <w:p w14:paraId="39774338" w14:textId="77777777" w:rsidR="00CC2B7F" w:rsidRDefault="00CC2B7F" w:rsidP="00C7391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F5A9F99" w14:textId="261DF66F" w:rsidR="00CC2B7F" w:rsidRDefault="00BD4C92" w:rsidP="00F15174">
      <w:pPr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Punto </w:t>
      </w:r>
      <w:r w:rsidR="00060ECF">
        <w:rPr>
          <w:rFonts w:ascii="Arial" w:hAnsi="Arial" w:cs="Arial"/>
          <w:b/>
          <w:bCs/>
          <w:sz w:val="24"/>
          <w:szCs w:val="24"/>
          <w:lang w:val="es-MX"/>
        </w:rPr>
        <w:t>2</w:t>
      </w:r>
    </w:p>
    <w:p w14:paraId="603644FF" w14:textId="7D53CDB2" w:rsidR="00BD4C92" w:rsidRDefault="00BD4C92" w:rsidP="00BD4C92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D4C92">
        <w:rPr>
          <w:rFonts w:ascii="Arial" w:hAnsi="Arial" w:cs="Arial"/>
          <w:sz w:val="24"/>
          <w:szCs w:val="24"/>
        </w:rPr>
        <w:t>nosotros obtenemos energía comiendo plantas o animales que se alimentan de plantas. La energía se almacena en los alimentos en forma de hidratos de car-bono, grasas y proteínas.</w:t>
      </w:r>
      <w:r w:rsidRPr="00BD4C92">
        <w:rPr>
          <w:color w:val="4D4D51"/>
        </w:rPr>
        <w:t xml:space="preserve"> </w:t>
      </w:r>
      <w:r w:rsidRPr="00BD4C92">
        <w:rPr>
          <w:rFonts w:ascii="Arial" w:hAnsi="Arial" w:cs="Arial"/>
          <w:sz w:val="24"/>
          <w:szCs w:val="24"/>
        </w:rPr>
        <w:t>La energía necesaria para la acción muscular se obtiene de los siguientes alimentos</w:t>
      </w:r>
    </w:p>
    <w:p w14:paraId="5849BA17" w14:textId="61F1B35C" w:rsidR="00BD4C92" w:rsidRDefault="00BD4C92" w:rsidP="00BD4C92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Hidratos de Carbono</w:t>
      </w:r>
    </w:p>
    <w:p w14:paraId="502FB7FD" w14:textId="58168E39" w:rsidR="00BD4C92" w:rsidRDefault="00BD4C92" w:rsidP="00BD4C92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Proteínas</w:t>
      </w:r>
    </w:p>
    <w:p w14:paraId="6C0798DD" w14:textId="6A326DE1" w:rsidR="00BD4C92" w:rsidRPr="00BD4C92" w:rsidRDefault="00BD4C92" w:rsidP="00BD4C92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Grasas</w:t>
      </w:r>
    </w:p>
    <w:p w14:paraId="5E41C975" w14:textId="77777777" w:rsidR="00F15174" w:rsidRPr="00F15174" w:rsidRDefault="00F15174" w:rsidP="00BD4C9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CDA6925" w14:textId="6B219141" w:rsidR="00CC2B7F" w:rsidRDefault="00BD4C92" w:rsidP="00BD4C92">
      <w:pPr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Punto </w:t>
      </w:r>
      <w:r w:rsidR="00060ECF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3046"/>
        <w:gridCol w:w="3031"/>
        <w:gridCol w:w="3034"/>
      </w:tblGrid>
      <w:tr w:rsidR="00A3299F" w14:paraId="588160AF" w14:textId="77777777" w:rsidTr="00BD4C92">
        <w:tc>
          <w:tcPr>
            <w:tcW w:w="3131" w:type="dxa"/>
          </w:tcPr>
          <w:p w14:paraId="40722B6F" w14:textId="655CAE2F" w:rsid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Hidratos de Carbono</w:t>
            </w:r>
          </w:p>
        </w:tc>
        <w:tc>
          <w:tcPr>
            <w:tcW w:w="3132" w:type="dxa"/>
          </w:tcPr>
          <w:p w14:paraId="76F91744" w14:textId="2E834A07" w:rsid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Grasas</w:t>
            </w:r>
          </w:p>
        </w:tc>
        <w:tc>
          <w:tcPr>
            <w:tcW w:w="3132" w:type="dxa"/>
          </w:tcPr>
          <w:p w14:paraId="4CFE72A7" w14:textId="690CF4E9" w:rsidR="00BD4C92" w:rsidRDefault="00A3299F" w:rsidP="00BD4C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Proteínas</w:t>
            </w:r>
          </w:p>
        </w:tc>
      </w:tr>
      <w:tr w:rsidR="00A3299F" w14:paraId="521855EC" w14:textId="77777777" w:rsidTr="00BD4C92">
        <w:tc>
          <w:tcPr>
            <w:tcW w:w="3131" w:type="dxa"/>
          </w:tcPr>
          <w:p w14:paraId="7667089D" w14:textId="597A6D92" w:rsidR="00BD4C92" w:rsidRPr="00A3299F" w:rsidRDefault="00BD4C92" w:rsidP="00A329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 xml:space="preserve">Proporcionan 4 Kcal. </w:t>
            </w:r>
            <w:r w:rsidRPr="00BD4C92">
              <w:rPr>
                <w:rFonts w:ascii="Arial" w:hAnsi="Arial" w:cs="Arial"/>
                <w:sz w:val="20"/>
                <w:szCs w:val="20"/>
              </w:rPr>
              <w:t>D</w:t>
            </w:r>
            <w:r w:rsidRPr="00BD4C92">
              <w:rPr>
                <w:rFonts w:ascii="Arial" w:hAnsi="Arial" w:cs="Arial"/>
                <w:sz w:val="20"/>
                <w:szCs w:val="20"/>
              </w:rPr>
              <w:t>e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energía por gramo.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Al pasar de un esfuerzo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muscular suave a otro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más agudo se emplean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progresivamente más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hidratos de carbono,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dependiendo menos de las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grasas.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Los hidratos de carbono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se convierten en glucosa,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un monosacárido (azúcar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de una sola unidad) que es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transportado por la sangre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a los tejidos donde se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metabolizan.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Las reservas de glucógeno en el hígado y en los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músculos son limitadas y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pueden agotarse. Sin una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ingestión adecuada de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ellos los músculos y el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hígado pueden </w:t>
            </w:r>
            <w:r w:rsidRPr="00BD4C92">
              <w:rPr>
                <w:rFonts w:ascii="Arial" w:hAnsi="Arial" w:cs="Arial"/>
                <w:sz w:val="20"/>
                <w:szCs w:val="20"/>
              </w:rPr>
              <w:lastRenderedPageBreak/>
              <w:t>quedar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desprovistos de su principal fuente de</w:t>
            </w:r>
            <w:r w:rsidRPr="00BD4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energía.</w:t>
            </w:r>
          </w:p>
        </w:tc>
        <w:tc>
          <w:tcPr>
            <w:tcW w:w="3132" w:type="dxa"/>
          </w:tcPr>
          <w:p w14:paraId="1D89EC4C" w14:textId="77777777" w:rsidR="00A3299F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lastRenderedPageBreak/>
              <w:t>Proporcionan 9 Kcal.</w:t>
            </w:r>
          </w:p>
          <w:p w14:paraId="64BB3270" w14:textId="1F369F5D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="00A329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C92">
              <w:rPr>
                <w:rFonts w:ascii="Arial" w:hAnsi="Arial" w:cs="Arial"/>
                <w:sz w:val="20"/>
                <w:szCs w:val="20"/>
              </w:rPr>
              <w:t>energía por gramo.</w:t>
            </w:r>
          </w:p>
          <w:p w14:paraId="7C8ACE8C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Las reservas energéticas</w:t>
            </w:r>
          </w:p>
          <w:p w14:paraId="7422C538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del cuerpo en grasas son</w:t>
            </w:r>
          </w:p>
          <w:p w14:paraId="74F4F8FD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superiores a la de los</w:t>
            </w:r>
          </w:p>
          <w:p w14:paraId="750107A7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hidratos de carbono, sin</w:t>
            </w:r>
          </w:p>
          <w:p w14:paraId="438F9AB6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embargo, las grasas son</w:t>
            </w:r>
          </w:p>
          <w:p w14:paraId="772F1A7F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menos accesibles para</w:t>
            </w:r>
          </w:p>
          <w:p w14:paraId="651866EE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el metabolismo celular,</w:t>
            </w:r>
          </w:p>
          <w:p w14:paraId="7431AEC5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pues originalmente se</w:t>
            </w:r>
          </w:p>
          <w:p w14:paraId="02BB72F0" w14:textId="2A6C980C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presentan como triglicéridos, una forma muy</w:t>
            </w:r>
          </w:p>
          <w:p w14:paraId="6C350BE5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compleja que debe ser</w:t>
            </w:r>
          </w:p>
          <w:p w14:paraId="526AFA25" w14:textId="7F9D1B29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reducida a sus componentes básicos, glicerol y</w:t>
            </w:r>
          </w:p>
          <w:p w14:paraId="6D0B437E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ácidos grasos libres para</w:t>
            </w:r>
          </w:p>
          <w:p w14:paraId="642921BF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recién poder empezar a</w:t>
            </w:r>
          </w:p>
          <w:p w14:paraId="190088A9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C92">
              <w:rPr>
                <w:rFonts w:ascii="Arial" w:hAnsi="Arial" w:cs="Arial"/>
                <w:sz w:val="20"/>
                <w:szCs w:val="20"/>
              </w:rPr>
              <w:t>formar ATP.</w:t>
            </w:r>
          </w:p>
          <w:p w14:paraId="69C27694" w14:textId="77777777" w:rsidR="00BD4C92" w:rsidRPr="00BD4C92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2" w:type="dxa"/>
          </w:tcPr>
          <w:p w14:paraId="4B0E47C8" w14:textId="77777777" w:rsidR="00A3299F" w:rsidRPr="00A3299F" w:rsidRDefault="00A3299F" w:rsidP="00A329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9F">
              <w:rPr>
                <w:rFonts w:ascii="Arial" w:hAnsi="Arial" w:cs="Arial"/>
                <w:sz w:val="20"/>
                <w:szCs w:val="20"/>
              </w:rPr>
              <w:t>Pueden aportar entre el 5</w:t>
            </w:r>
          </w:p>
          <w:p w14:paraId="7DE49613" w14:textId="77777777" w:rsidR="00A3299F" w:rsidRPr="00A3299F" w:rsidRDefault="00A3299F" w:rsidP="00A329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9F">
              <w:rPr>
                <w:rFonts w:ascii="Arial" w:hAnsi="Arial" w:cs="Arial"/>
                <w:sz w:val="20"/>
                <w:szCs w:val="20"/>
              </w:rPr>
              <w:t>y el 10% de la energía</w:t>
            </w:r>
          </w:p>
          <w:p w14:paraId="455E4F9D" w14:textId="77777777" w:rsidR="00A3299F" w:rsidRPr="00A3299F" w:rsidRDefault="00A3299F" w:rsidP="00A329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9F">
              <w:rPr>
                <w:rFonts w:ascii="Arial" w:hAnsi="Arial" w:cs="Arial"/>
                <w:sz w:val="20"/>
                <w:szCs w:val="20"/>
              </w:rPr>
              <w:t>necesaria para mantener</w:t>
            </w:r>
          </w:p>
          <w:p w14:paraId="4E21057D" w14:textId="77777777" w:rsidR="00A3299F" w:rsidRPr="00A3299F" w:rsidRDefault="00A3299F" w:rsidP="00A329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9F">
              <w:rPr>
                <w:rFonts w:ascii="Arial" w:hAnsi="Arial" w:cs="Arial"/>
                <w:sz w:val="20"/>
                <w:szCs w:val="20"/>
              </w:rPr>
              <w:t>un ejercicio prolongado</w:t>
            </w:r>
          </w:p>
          <w:p w14:paraId="1CBD780C" w14:textId="79E1760B" w:rsidR="00A3299F" w:rsidRPr="00A3299F" w:rsidRDefault="00A3299F" w:rsidP="00A329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9F">
              <w:rPr>
                <w:rFonts w:ascii="Arial" w:hAnsi="Arial" w:cs="Arial"/>
                <w:sz w:val="20"/>
                <w:szCs w:val="20"/>
              </w:rPr>
              <w:t>Tienen una función plástica, generadora y reparadora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99F">
              <w:rPr>
                <w:rFonts w:ascii="Arial" w:hAnsi="Arial" w:cs="Arial"/>
                <w:sz w:val="20"/>
                <w:szCs w:val="20"/>
              </w:rPr>
              <w:t>tejidos.</w:t>
            </w:r>
          </w:p>
          <w:p w14:paraId="2BB321BA" w14:textId="77777777" w:rsidR="00A3299F" w:rsidRPr="00A3299F" w:rsidRDefault="00A3299F" w:rsidP="00A329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9F">
              <w:rPr>
                <w:rFonts w:ascii="Arial" w:hAnsi="Arial" w:cs="Arial"/>
                <w:sz w:val="20"/>
                <w:szCs w:val="20"/>
              </w:rPr>
              <w:t>Las unidades más básicas</w:t>
            </w:r>
          </w:p>
          <w:p w14:paraId="3103DB77" w14:textId="525C8AE7" w:rsidR="00A3299F" w:rsidRPr="00A3299F" w:rsidRDefault="00A3299F" w:rsidP="00A329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9F">
              <w:rPr>
                <w:rFonts w:ascii="Arial" w:hAnsi="Arial" w:cs="Arial"/>
                <w:sz w:val="20"/>
                <w:szCs w:val="20"/>
              </w:rPr>
              <w:t>de las proteínas (aminoácidos) pueden usarse para</w:t>
            </w:r>
          </w:p>
          <w:p w14:paraId="7C073D8B" w14:textId="77777777" w:rsidR="00A3299F" w:rsidRPr="00A3299F" w:rsidRDefault="00A3299F" w:rsidP="00A329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99F">
              <w:rPr>
                <w:rFonts w:ascii="Arial" w:hAnsi="Arial" w:cs="Arial"/>
                <w:sz w:val="20"/>
                <w:szCs w:val="20"/>
              </w:rPr>
              <w:t>obtener energía.</w:t>
            </w:r>
          </w:p>
          <w:p w14:paraId="644BFC3B" w14:textId="77777777" w:rsidR="00BD4C92" w:rsidRPr="00A3299F" w:rsidRDefault="00BD4C92" w:rsidP="00BD4C9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08E9AD" w14:textId="77777777" w:rsidR="00BD4C92" w:rsidRDefault="00BD4C92" w:rsidP="00BD4C92">
      <w:pPr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00698A" w14:textId="6671AAD8" w:rsidR="00CC2B7F" w:rsidRDefault="00F81885" w:rsidP="00F81885">
      <w:pPr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Punto </w:t>
      </w:r>
      <w:r w:rsidR="00060ECF">
        <w:rPr>
          <w:rFonts w:ascii="Arial" w:hAnsi="Arial" w:cs="Arial"/>
          <w:b/>
          <w:bCs/>
          <w:sz w:val="24"/>
          <w:szCs w:val="24"/>
        </w:rPr>
        <w:t>4</w:t>
      </w:r>
    </w:p>
    <w:p w14:paraId="67E81FD6" w14:textId="1D34C78E" w:rsidR="00F81885" w:rsidRPr="00F81885" w:rsidRDefault="00F81885" w:rsidP="00F8188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1885">
        <w:rPr>
          <w:rFonts w:ascii="Arial" w:hAnsi="Arial" w:cs="Arial"/>
          <w:sz w:val="24"/>
          <w:szCs w:val="24"/>
        </w:rPr>
        <w:t>En los enlaces de las moléculas de estos alimentos la energía se libera químicamente dentro de nuestras células, almacenándose luego en forma de un compuesto</w:t>
      </w:r>
    </w:p>
    <w:p w14:paraId="4F1A328D" w14:textId="77777777" w:rsidR="00F81885" w:rsidRPr="00F81885" w:rsidRDefault="00F81885" w:rsidP="00F8188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1885">
        <w:rPr>
          <w:rFonts w:ascii="Arial" w:hAnsi="Arial" w:cs="Arial"/>
          <w:sz w:val="24"/>
          <w:szCs w:val="24"/>
        </w:rPr>
        <w:t>altamente energético denominado ATP, adenosina trifosfato.</w:t>
      </w:r>
    </w:p>
    <w:p w14:paraId="23DD8531" w14:textId="1F908433" w:rsidR="00CC2B7F" w:rsidRP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C2B7F">
        <w:rPr>
          <w:rFonts w:ascii="Arial" w:hAnsi="Arial" w:cs="Arial"/>
          <w:sz w:val="24"/>
          <w:szCs w:val="24"/>
        </w:rPr>
        <w:t>.</w:t>
      </w:r>
    </w:p>
    <w:p w14:paraId="41567822" w14:textId="2D4B75BD" w:rsidR="00F81885" w:rsidRDefault="00F81885" w:rsidP="00F81885">
      <w:pPr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Punto 5</w:t>
      </w:r>
    </w:p>
    <w:p w14:paraId="0A399FFC" w14:textId="77777777" w:rsidR="00CC2B7F" w:rsidRDefault="00CC2B7F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C2B7F">
        <w:rPr>
          <w:rFonts w:ascii="Arial" w:hAnsi="Arial" w:cs="Arial"/>
          <w:sz w:val="24"/>
          <w:szCs w:val="24"/>
        </w:rPr>
        <w:t>Sus elementos principales son: la carcasa, la pantalla táctil, la batería, la placa base, los sensores, las cámaras, el micrófono, el altavoz y los botones físicos (como encendido y volumen). Todos estos componentes trabajan en conjunto para proporcionar una interfaz de usuario intuitiva, capacidad de comunicación, procesamiento de datos y conectividad.</w:t>
      </w:r>
    </w:p>
    <w:p w14:paraId="63459277" w14:textId="71AD6FEB" w:rsidR="00060ECF" w:rsidRDefault="00060ECF" w:rsidP="00060ECF">
      <w:pPr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060ECF">
        <w:rPr>
          <w:rFonts w:ascii="Arial" w:hAnsi="Arial" w:cs="Arial"/>
          <w:b/>
          <w:bCs/>
          <w:sz w:val="24"/>
          <w:szCs w:val="24"/>
        </w:rPr>
        <w:t>Punto 6</w:t>
      </w:r>
    </w:p>
    <w:p w14:paraId="424938A3" w14:textId="5EBC8F54" w:rsidR="00060ECF" w:rsidRPr="00060ECF" w:rsidRDefault="00060ECF" w:rsidP="00060ECF">
      <w:pPr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Sistema Anaeróbico Aláctico </w:t>
      </w:r>
    </w:p>
    <w:p w14:paraId="5FBB3407" w14:textId="42F08EC7" w:rsidR="00C73914" w:rsidRDefault="00C73914" w:rsidP="00CC2B7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4F33494" w14:textId="42E6464A" w:rsidR="00060ECF" w:rsidRPr="00060ECF" w:rsidRDefault="00060ECF" w:rsidP="00060EC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60ECF">
        <w:rPr>
          <w:rFonts w:ascii="Arial" w:hAnsi="Arial" w:cs="Arial"/>
          <w:sz w:val="24"/>
          <w:szCs w:val="24"/>
        </w:rPr>
        <w:t>Es el más sencillo de los sistemas energéticos. Además del</w:t>
      </w:r>
      <w:r>
        <w:rPr>
          <w:rFonts w:ascii="Arial" w:hAnsi="Arial" w:cs="Arial"/>
          <w:sz w:val="24"/>
          <w:szCs w:val="24"/>
        </w:rPr>
        <w:t xml:space="preserve"> </w:t>
      </w:r>
      <w:r w:rsidRPr="00060ECF">
        <w:rPr>
          <w:rFonts w:ascii="Arial" w:hAnsi="Arial" w:cs="Arial"/>
          <w:sz w:val="24"/>
          <w:szCs w:val="24"/>
        </w:rPr>
        <w:t>ATP, nuestras células tienen otra molécula altamente energética, la Fosfocreatina o PC.</w:t>
      </w:r>
      <w:r>
        <w:rPr>
          <w:rFonts w:ascii="Arial" w:hAnsi="Arial" w:cs="Arial"/>
          <w:sz w:val="24"/>
          <w:szCs w:val="24"/>
        </w:rPr>
        <w:t xml:space="preserve"> </w:t>
      </w:r>
      <w:r w:rsidRPr="00060ECF">
        <w:rPr>
          <w:rFonts w:ascii="Arial" w:hAnsi="Arial" w:cs="Arial"/>
          <w:sz w:val="24"/>
          <w:szCs w:val="24"/>
        </w:rPr>
        <w:t>Aunque puede ocurrir en presencia de oxígeno, este proceso no lo requiere, por lo cual se dice que este sistema es</w:t>
      </w:r>
      <w:r>
        <w:rPr>
          <w:rFonts w:ascii="Arial" w:hAnsi="Arial" w:cs="Arial"/>
          <w:sz w:val="24"/>
          <w:szCs w:val="24"/>
        </w:rPr>
        <w:t xml:space="preserve"> </w:t>
      </w:r>
      <w:r w:rsidRPr="00060ECF">
        <w:rPr>
          <w:rFonts w:ascii="Arial" w:hAnsi="Arial" w:cs="Arial"/>
          <w:sz w:val="24"/>
          <w:szCs w:val="24"/>
        </w:rPr>
        <w:t>anaeróbico.</w:t>
      </w:r>
    </w:p>
    <w:p w14:paraId="75689E32" w14:textId="1D69DFA1" w:rsidR="00060ECF" w:rsidRDefault="00060ECF" w:rsidP="00060EC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60ECF">
        <w:rPr>
          <w:rFonts w:ascii="Arial" w:hAnsi="Arial" w:cs="Arial"/>
          <w:sz w:val="24"/>
          <w:szCs w:val="24"/>
        </w:rPr>
        <w:t>Nuestras reservas de ATP y PC pueden mantener las necesidades de energía de nuestros músculos durante los primeros segundos de actividad muscular intensa (de 3 a 15 s</w:t>
      </w:r>
      <w:r>
        <w:rPr>
          <w:rFonts w:ascii="Arial" w:hAnsi="Arial" w:cs="Arial"/>
          <w:sz w:val="24"/>
          <w:szCs w:val="24"/>
        </w:rPr>
        <w:t xml:space="preserve"> </w:t>
      </w:r>
      <w:r w:rsidRPr="00060ECF">
        <w:rPr>
          <w:rFonts w:ascii="Arial" w:hAnsi="Arial" w:cs="Arial"/>
          <w:sz w:val="24"/>
          <w:szCs w:val="24"/>
        </w:rPr>
        <w:t>durante un sprint máximo). Más allá de este punto, los</w:t>
      </w:r>
      <w:r>
        <w:rPr>
          <w:rFonts w:ascii="Arial" w:hAnsi="Arial" w:cs="Arial"/>
          <w:sz w:val="24"/>
          <w:szCs w:val="24"/>
        </w:rPr>
        <w:t xml:space="preserve"> </w:t>
      </w:r>
      <w:r w:rsidRPr="00060ECF">
        <w:rPr>
          <w:rFonts w:ascii="Arial" w:hAnsi="Arial" w:cs="Arial"/>
          <w:sz w:val="24"/>
          <w:szCs w:val="24"/>
        </w:rPr>
        <w:t>músculos dependen de los otros dos sistemas.</w:t>
      </w:r>
      <w:r>
        <w:rPr>
          <w:rFonts w:ascii="Arial" w:hAnsi="Arial" w:cs="Arial"/>
          <w:sz w:val="24"/>
          <w:szCs w:val="24"/>
        </w:rPr>
        <w:t xml:space="preserve"> </w:t>
      </w:r>
      <w:r w:rsidRPr="00060ECF">
        <w:rPr>
          <w:rFonts w:ascii="Arial" w:hAnsi="Arial" w:cs="Arial"/>
          <w:sz w:val="24"/>
          <w:szCs w:val="24"/>
        </w:rPr>
        <w:t>Es aláctico porque no alcanza a formarse ácido láctico.</w:t>
      </w:r>
    </w:p>
    <w:p w14:paraId="0596E934" w14:textId="3CBAEFFE" w:rsidR="00060ECF" w:rsidRPr="00060ECF" w:rsidRDefault="00060ECF" w:rsidP="00060ECF">
      <w:pPr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Sistema Glucolítico Anaeróbico - Láctico</w:t>
      </w:r>
    </w:p>
    <w:p w14:paraId="33460F1E" w14:textId="364A98B7" w:rsidR="00060ECF" w:rsidRDefault="00060ECF" w:rsidP="00060EC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60ECF">
        <w:rPr>
          <w:rFonts w:ascii="Arial" w:hAnsi="Arial" w:cs="Arial"/>
          <w:sz w:val="24"/>
          <w:szCs w:val="24"/>
        </w:rPr>
        <w:lastRenderedPageBreak/>
        <w:t>Proporciona la energía necesaria para mantener la acción</w:t>
      </w:r>
      <w:r>
        <w:rPr>
          <w:rFonts w:ascii="Arial" w:hAnsi="Arial" w:cs="Arial"/>
          <w:sz w:val="24"/>
          <w:szCs w:val="24"/>
        </w:rPr>
        <w:t xml:space="preserve"> </w:t>
      </w:r>
      <w:r w:rsidRPr="00060ECF">
        <w:rPr>
          <w:rFonts w:ascii="Arial" w:hAnsi="Arial" w:cs="Arial"/>
          <w:sz w:val="24"/>
          <w:szCs w:val="24"/>
        </w:rPr>
        <w:t>muscular durante los primeros minutos de un ejercicio de</w:t>
      </w:r>
      <w:r>
        <w:rPr>
          <w:rFonts w:ascii="Arial" w:hAnsi="Arial" w:cs="Arial"/>
          <w:sz w:val="24"/>
          <w:szCs w:val="24"/>
        </w:rPr>
        <w:t xml:space="preserve"> </w:t>
      </w:r>
      <w:r w:rsidRPr="00060ECF">
        <w:rPr>
          <w:rFonts w:ascii="Arial" w:hAnsi="Arial" w:cs="Arial"/>
          <w:sz w:val="24"/>
          <w:szCs w:val="24"/>
        </w:rPr>
        <w:t>alta intensidad y corta duración.</w:t>
      </w:r>
    </w:p>
    <w:p w14:paraId="720435D4" w14:textId="5E0B088D" w:rsidR="008B5347" w:rsidRDefault="008B5347" w:rsidP="008B534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B5347">
        <w:rPr>
          <w:rFonts w:ascii="Arial" w:hAnsi="Arial" w:cs="Arial"/>
          <w:sz w:val="24"/>
          <w:szCs w:val="24"/>
        </w:rPr>
        <w:t>Se basa en la producción de ATP a partir de la liberación de</w:t>
      </w:r>
      <w:r>
        <w:rPr>
          <w:rFonts w:ascii="Arial" w:hAnsi="Arial" w:cs="Arial"/>
          <w:sz w:val="24"/>
          <w:szCs w:val="24"/>
        </w:rPr>
        <w:t xml:space="preserve"> </w:t>
      </w:r>
      <w:r w:rsidRPr="008B5347">
        <w:rPr>
          <w:rFonts w:ascii="Arial" w:hAnsi="Arial" w:cs="Arial"/>
          <w:sz w:val="24"/>
          <w:szCs w:val="24"/>
        </w:rPr>
        <w:t>energía por descomposición (lisis) de la glucosa: glucólisis</w:t>
      </w:r>
    </w:p>
    <w:p w14:paraId="57923F82" w14:textId="7F62A798" w:rsidR="008B5347" w:rsidRDefault="008B5347" w:rsidP="008B534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B5347">
        <w:rPr>
          <w:rFonts w:ascii="Arial" w:hAnsi="Arial" w:cs="Arial"/>
          <w:sz w:val="24"/>
          <w:szCs w:val="24"/>
        </w:rPr>
        <w:t>La glucosa es el 99% de la cantidad total de azúcares que</w:t>
      </w:r>
      <w:r>
        <w:rPr>
          <w:rFonts w:ascii="Arial" w:hAnsi="Arial" w:cs="Arial"/>
          <w:sz w:val="24"/>
          <w:szCs w:val="24"/>
        </w:rPr>
        <w:t xml:space="preserve"> </w:t>
      </w:r>
      <w:r w:rsidRPr="008B5347">
        <w:rPr>
          <w:rFonts w:ascii="Arial" w:hAnsi="Arial" w:cs="Arial"/>
          <w:sz w:val="24"/>
          <w:szCs w:val="24"/>
        </w:rPr>
        <w:t>circulan por la sangre. La glucosa de la sangre procede de</w:t>
      </w:r>
      <w:r>
        <w:rPr>
          <w:rFonts w:ascii="Arial" w:hAnsi="Arial" w:cs="Arial"/>
          <w:sz w:val="24"/>
          <w:szCs w:val="24"/>
        </w:rPr>
        <w:t xml:space="preserve"> </w:t>
      </w:r>
      <w:r w:rsidRPr="008B5347">
        <w:rPr>
          <w:rFonts w:ascii="Arial" w:hAnsi="Arial" w:cs="Arial"/>
          <w:sz w:val="24"/>
          <w:szCs w:val="24"/>
        </w:rPr>
        <w:t>la digestión de los hidratos de carbono y de la descomposición del glucógeno hepático. El glucógeno es sintetizado</w:t>
      </w:r>
      <w:r>
        <w:rPr>
          <w:rFonts w:ascii="Arial" w:hAnsi="Arial" w:cs="Arial"/>
          <w:sz w:val="24"/>
          <w:szCs w:val="24"/>
        </w:rPr>
        <w:t xml:space="preserve"> </w:t>
      </w:r>
      <w:r w:rsidRPr="008B5347">
        <w:rPr>
          <w:rFonts w:ascii="Arial" w:hAnsi="Arial" w:cs="Arial"/>
          <w:sz w:val="24"/>
          <w:szCs w:val="24"/>
        </w:rPr>
        <w:t>a partir de la glucosa por un proceso llamado glucogenogénesis. Se almacena en los músculos o en el hígado</w:t>
      </w:r>
      <w:r>
        <w:rPr>
          <w:rFonts w:ascii="Arial" w:hAnsi="Arial" w:cs="Arial"/>
          <w:sz w:val="24"/>
          <w:szCs w:val="24"/>
        </w:rPr>
        <w:t xml:space="preserve"> </w:t>
      </w:r>
      <w:r w:rsidRPr="008B5347">
        <w:rPr>
          <w:rFonts w:ascii="Arial" w:hAnsi="Arial" w:cs="Arial"/>
          <w:sz w:val="24"/>
          <w:szCs w:val="24"/>
        </w:rPr>
        <w:t>hasta que se necesita.</w:t>
      </w:r>
    </w:p>
    <w:p w14:paraId="3E1447C2" w14:textId="77777777" w:rsidR="008B5347" w:rsidRDefault="008B5347" w:rsidP="008B5347">
      <w:pPr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Sistema Oxidativo Aeróbico</w:t>
      </w:r>
    </w:p>
    <w:p w14:paraId="5595FBE3" w14:textId="487A830E" w:rsidR="008B5347" w:rsidRPr="008B5347" w:rsidRDefault="008B5347" w:rsidP="008B5347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B5347">
        <w:rPr>
          <w:rFonts w:ascii="Arial" w:hAnsi="Arial" w:cs="Arial"/>
          <w:sz w:val="24"/>
          <w:szCs w:val="24"/>
        </w:rPr>
        <w:t>Proceso mediante el cual el cuerpo descompone combustibles con la ayuda de oxígeno, por lo tanto, es un proceso</w:t>
      </w:r>
      <w:r>
        <w:rPr>
          <w:rFonts w:ascii="Arial" w:hAnsi="Arial" w:cs="Arial"/>
          <w:sz w:val="24"/>
          <w:szCs w:val="24"/>
        </w:rPr>
        <w:t xml:space="preserve"> </w:t>
      </w:r>
      <w:r w:rsidRPr="008B5347">
        <w:rPr>
          <w:rFonts w:ascii="Arial" w:hAnsi="Arial" w:cs="Arial"/>
          <w:sz w:val="24"/>
          <w:szCs w:val="24"/>
        </w:rPr>
        <w:t>aeróbico.</w:t>
      </w:r>
    </w:p>
    <w:p w14:paraId="44079AF4" w14:textId="761BF2CE" w:rsidR="008B5347" w:rsidRPr="008B5347" w:rsidRDefault="008B5347" w:rsidP="008B5347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8B5347">
        <w:rPr>
          <w:rFonts w:ascii="Arial" w:hAnsi="Arial" w:cs="Arial"/>
          <w:sz w:val="24"/>
          <w:szCs w:val="24"/>
        </w:rPr>
        <w:t>Este sistema produce una tremenda cantidad de energía,</w:t>
      </w:r>
      <w:r>
        <w:rPr>
          <w:rFonts w:ascii="Arial" w:hAnsi="Arial" w:cs="Arial"/>
          <w:sz w:val="24"/>
          <w:szCs w:val="24"/>
        </w:rPr>
        <w:t xml:space="preserve"> </w:t>
      </w:r>
      <w:r w:rsidRPr="008B5347">
        <w:rPr>
          <w:rFonts w:ascii="Arial" w:hAnsi="Arial" w:cs="Arial"/>
          <w:sz w:val="24"/>
          <w:szCs w:val="24"/>
        </w:rPr>
        <w:t>por lo que el metabolismo aeróbico es el método principal</w:t>
      </w:r>
      <w:r>
        <w:rPr>
          <w:rFonts w:ascii="Arial" w:hAnsi="Arial" w:cs="Arial"/>
          <w:sz w:val="24"/>
          <w:szCs w:val="24"/>
        </w:rPr>
        <w:t xml:space="preserve"> </w:t>
      </w:r>
      <w:r w:rsidRPr="008B5347">
        <w:rPr>
          <w:rFonts w:ascii="Arial" w:hAnsi="Arial" w:cs="Arial"/>
          <w:sz w:val="24"/>
          <w:szCs w:val="24"/>
        </w:rPr>
        <w:t>de producción de energía durante las pruebas de resistencia de baja a moderada intensidad y larga duración.</w:t>
      </w:r>
    </w:p>
    <w:p w14:paraId="384CB7A8" w14:textId="32B0A770" w:rsidR="008B5347" w:rsidRPr="008B5347" w:rsidRDefault="008B5347" w:rsidP="008B5347">
      <w:pPr>
        <w:spacing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28C138" w14:textId="77777777" w:rsidR="008B5347" w:rsidRPr="008B5347" w:rsidRDefault="008B5347" w:rsidP="008B534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D782562" w14:textId="77777777" w:rsidR="008B5347" w:rsidRPr="00060ECF" w:rsidRDefault="008B5347" w:rsidP="00060ECF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sectPr w:rsidR="008B5347" w:rsidRPr="00060ECF" w:rsidSect="00CC2B7F">
      <w:pgSz w:w="12240" w:h="15840" w:code="1"/>
      <w:pgMar w:top="1418" w:right="1134" w:bottom="1134" w:left="1701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7F"/>
    <w:rsid w:val="00060ECF"/>
    <w:rsid w:val="003333A5"/>
    <w:rsid w:val="005D70E7"/>
    <w:rsid w:val="008124C0"/>
    <w:rsid w:val="008B5347"/>
    <w:rsid w:val="00A3299F"/>
    <w:rsid w:val="00B63FC5"/>
    <w:rsid w:val="00BD4C92"/>
    <w:rsid w:val="00C73914"/>
    <w:rsid w:val="00CC2B7F"/>
    <w:rsid w:val="00D078ED"/>
    <w:rsid w:val="00E13CC6"/>
    <w:rsid w:val="00E30397"/>
    <w:rsid w:val="00E97FA6"/>
    <w:rsid w:val="00EE2D54"/>
    <w:rsid w:val="00F15174"/>
    <w:rsid w:val="00F81885"/>
    <w:rsid w:val="00FE257E"/>
    <w:rsid w:val="00F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90B0"/>
  <w15:chartTrackingRefBased/>
  <w15:docId w15:val="{9FD6F4F5-290F-4E48-AC30-AF198D7D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C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2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2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2B7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2B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2B7F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2B7F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2B7F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2B7F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2B7F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2B7F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2B7F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CC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2B7F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CC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2B7F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CC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2B7F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CC2B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2B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2B7F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CC2B7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D4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</dc:creator>
  <cp:keywords/>
  <dc:description/>
  <cp:lastModifiedBy>horacio solar</cp:lastModifiedBy>
  <cp:revision>2</cp:revision>
  <dcterms:created xsi:type="dcterms:W3CDTF">2025-06-05T16:35:00Z</dcterms:created>
  <dcterms:modified xsi:type="dcterms:W3CDTF">2025-06-05T19:10:00Z</dcterms:modified>
</cp:coreProperties>
</file>