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1332" w14:textId="77777777" w:rsidR="004B112B" w:rsidRDefault="00000000">
      <w:pPr>
        <w:rPr>
          <w:rFonts w:ascii="Calibri" w:hAnsi="Calibri"/>
          <w:b/>
          <w:bCs/>
          <w:sz w:val="26"/>
          <w:szCs w:val="26"/>
        </w:rPr>
      </w:pPr>
      <w:r>
        <w:rPr>
          <w:rFonts w:ascii="Calibri" w:hAnsi="Calibri"/>
          <w:b/>
          <w:bCs/>
          <w:sz w:val="26"/>
          <w:szCs w:val="26"/>
        </w:rPr>
        <w:t>Actividad</w:t>
      </w:r>
    </w:p>
    <w:p w14:paraId="771D39D4" w14:textId="77777777" w:rsidR="004B112B" w:rsidRDefault="00000000">
      <w:pPr>
        <w:rPr>
          <w:rFonts w:ascii="Calibri" w:hAnsi="Calibri"/>
          <w:b/>
          <w:bCs/>
          <w:sz w:val="22"/>
          <w:szCs w:val="22"/>
        </w:rPr>
      </w:pPr>
      <w:r>
        <w:rPr>
          <w:rFonts w:ascii="Calibri" w:hAnsi="Calibri"/>
          <w:b/>
          <w:bCs/>
          <w:sz w:val="22"/>
          <w:szCs w:val="22"/>
        </w:rPr>
        <w:t>1. ¿Cuál es la función de las normas contables?</w:t>
      </w:r>
    </w:p>
    <w:p w14:paraId="374083F6" w14:textId="77777777" w:rsidR="004B112B" w:rsidRDefault="00000000">
      <w:pPr>
        <w:jc w:val="both"/>
        <w:rPr>
          <w:rFonts w:ascii="Calibri" w:hAnsi="Calibri"/>
          <w:sz w:val="22"/>
          <w:szCs w:val="22"/>
        </w:rPr>
      </w:pPr>
      <w:r>
        <w:rPr>
          <w:rFonts w:ascii="Calibri" w:hAnsi="Calibri"/>
          <w:color w:val="000000"/>
          <w:sz w:val="22"/>
          <w:szCs w:val="22"/>
        </w:rPr>
        <w:t xml:space="preserve">Las Normas Contables son reglas para la preparación de los Estados Contables e información contable en general. Establecen pautas sobre el proceso contable y, determinan y uniforman los informes contables para que sean comparables. Las normas se ocupan de cuestiones de reconocimiento, medición y exposición. Su función es garantizar información adecuada, que permitirá a los usuarios, interpretar y comparar la información que brindan los Estados Contables. </w:t>
      </w:r>
    </w:p>
    <w:p w14:paraId="41133747" w14:textId="77777777" w:rsidR="004B112B" w:rsidRDefault="004B112B">
      <w:pPr>
        <w:jc w:val="both"/>
        <w:rPr>
          <w:rFonts w:ascii="Calibri" w:hAnsi="Calibri"/>
        </w:rPr>
      </w:pPr>
    </w:p>
    <w:p w14:paraId="193C8081" w14:textId="77777777" w:rsidR="004B112B" w:rsidRDefault="00000000">
      <w:pPr>
        <w:rPr>
          <w:rFonts w:ascii="Calibri" w:hAnsi="Calibri"/>
          <w:b/>
          <w:bCs/>
          <w:sz w:val="22"/>
          <w:szCs w:val="22"/>
        </w:rPr>
      </w:pPr>
      <w:r>
        <w:rPr>
          <w:rFonts w:ascii="Calibri" w:hAnsi="Calibri"/>
          <w:b/>
          <w:bCs/>
          <w:sz w:val="22"/>
          <w:szCs w:val="22"/>
        </w:rPr>
        <w:t>2. ¿Cómo pueden clasificarse?</w:t>
      </w:r>
    </w:p>
    <w:p w14:paraId="411A82F2" w14:textId="77777777" w:rsidR="004B112B" w:rsidRDefault="00000000">
      <w:pPr>
        <w:jc w:val="both"/>
        <w:rPr>
          <w:rFonts w:hint="eastAsia"/>
        </w:rPr>
      </w:pPr>
      <w:r>
        <w:rPr>
          <w:rFonts w:ascii="Calibri" w:hAnsi="Calibri"/>
          <w:sz w:val="22"/>
          <w:szCs w:val="22"/>
        </w:rPr>
        <w:t xml:space="preserve">Las normas se clasifican en 3 grupos: </w:t>
      </w:r>
    </w:p>
    <w:p w14:paraId="311E4C97" w14:textId="77777777" w:rsidR="004B112B" w:rsidRDefault="00000000">
      <w:pPr>
        <w:jc w:val="both"/>
        <w:rPr>
          <w:rFonts w:hint="eastAsia"/>
        </w:rPr>
      </w:pPr>
      <w:r>
        <w:rPr>
          <w:rFonts w:ascii="Calibri" w:hAnsi="Calibri"/>
          <w:b/>
          <w:bCs/>
          <w:sz w:val="22"/>
          <w:szCs w:val="22"/>
          <w:u w:val="single"/>
        </w:rPr>
        <w:t xml:space="preserve">Legales: </w:t>
      </w:r>
      <w:r>
        <w:rPr>
          <w:rFonts w:ascii="Calibri" w:hAnsi="Calibri"/>
          <w:sz w:val="22"/>
          <w:szCs w:val="22"/>
        </w:rPr>
        <w:t xml:space="preserve">son de cumplimiento obligatorio por parte de los entes emisores de Estados Contables alcanzados por las </w:t>
      </w:r>
      <w:proofErr w:type="gramStart"/>
      <w:r>
        <w:rPr>
          <w:rFonts w:ascii="Calibri" w:hAnsi="Calibri"/>
          <w:sz w:val="22"/>
          <w:szCs w:val="22"/>
        </w:rPr>
        <w:t>mismas emisores</w:t>
      </w:r>
      <w:proofErr w:type="gramEnd"/>
      <w:r>
        <w:rPr>
          <w:rFonts w:ascii="Calibri" w:hAnsi="Calibri"/>
          <w:sz w:val="22"/>
          <w:szCs w:val="22"/>
        </w:rPr>
        <w:t>: estado y organismos de contralor oficial; alcanza los informes contables.</w:t>
      </w:r>
    </w:p>
    <w:p w14:paraId="726D0C0D" w14:textId="77777777" w:rsidR="004B112B" w:rsidRDefault="00000000">
      <w:pPr>
        <w:jc w:val="both"/>
        <w:rPr>
          <w:rFonts w:hint="eastAsia"/>
        </w:rPr>
      </w:pPr>
      <w:r>
        <w:rPr>
          <w:rFonts w:ascii="Calibri" w:hAnsi="Calibri"/>
          <w:b/>
          <w:bCs/>
          <w:sz w:val="22"/>
          <w:szCs w:val="22"/>
          <w:u w:val="single"/>
        </w:rPr>
        <w:t>Profesionales:</w:t>
      </w:r>
      <w:r>
        <w:rPr>
          <w:rFonts w:ascii="Calibri" w:hAnsi="Calibri"/>
          <w:sz w:val="22"/>
          <w:szCs w:val="22"/>
        </w:rPr>
        <w:t xml:space="preserve"> integran el conjunto de normas emitidas por los organismos profesionales que regulan la actividad profesional. son consideradas referencia para el desarrollo de la tarea de auditoria obligan al profesional, son las Resoluciones Técnicas. emisor: los consejos profesionales de cada jurisdicción </w:t>
      </w:r>
    </w:p>
    <w:p w14:paraId="5C744EB3" w14:textId="77777777" w:rsidR="004B112B" w:rsidRDefault="00000000">
      <w:pPr>
        <w:jc w:val="both"/>
        <w:rPr>
          <w:rFonts w:hint="eastAsia"/>
        </w:rPr>
      </w:pPr>
      <w:r>
        <w:rPr>
          <w:rFonts w:ascii="Calibri" w:hAnsi="Calibri"/>
          <w:b/>
          <w:bCs/>
          <w:sz w:val="22"/>
          <w:szCs w:val="22"/>
          <w:u w:val="single"/>
        </w:rPr>
        <w:t>Propias del Ente:</w:t>
      </w:r>
      <w:r>
        <w:rPr>
          <w:rFonts w:ascii="Calibri" w:hAnsi="Calibri"/>
          <w:sz w:val="22"/>
          <w:szCs w:val="22"/>
        </w:rPr>
        <w:t xml:space="preserve"> definidas por la empresa emisor: órgano de administración y/o los departamentos Informes de gestión. </w:t>
      </w:r>
    </w:p>
    <w:p w14:paraId="74FC0C28" w14:textId="77777777" w:rsidR="004B112B" w:rsidRDefault="004B112B">
      <w:pPr>
        <w:rPr>
          <w:rFonts w:ascii="Calibri" w:hAnsi="Calibri"/>
          <w:sz w:val="22"/>
          <w:szCs w:val="22"/>
          <w:shd w:val="clear" w:color="auto" w:fill="E8F2A1"/>
        </w:rPr>
      </w:pPr>
    </w:p>
    <w:p w14:paraId="046B404A" w14:textId="77777777" w:rsidR="004B112B" w:rsidRDefault="00000000">
      <w:pPr>
        <w:rPr>
          <w:rFonts w:ascii="Calibri" w:hAnsi="Calibri"/>
          <w:sz w:val="22"/>
          <w:szCs w:val="22"/>
        </w:rPr>
      </w:pPr>
      <w:r>
        <w:rPr>
          <w:rFonts w:ascii="Calibri" w:hAnsi="Calibri"/>
          <w:sz w:val="22"/>
          <w:szCs w:val="22"/>
        </w:rPr>
        <w:t>Las normas contables determinan el modelo contable que utilizará el ente. Las mismas están reguladas. Las normas internas de la organización deben adaptarse a las normas legales y a las profesionales</w:t>
      </w:r>
    </w:p>
    <w:p w14:paraId="218DFDC6" w14:textId="77777777" w:rsidR="004B112B" w:rsidRDefault="004B112B">
      <w:pPr>
        <w:rPr>
          <w:rFonts w:ascii="Calibri" w:hAnsi="Calibri"/>
          <w:sz w:val="22"/>
          <w:szCs w:val="22"/>
        </w:rPr>
      </w:pPr>
    </w:p>
    <w:p w14:paraId="5F4D52D2" w14:textId="77777777" w:rsidR="004B112B" w:rsidRDefault="00000000">
      <w:pPr>
        <w:rPr>
          <w:rFonts w:ascii="Calibri" w:hAnsi="Calibri"/>
        </w:rPr>
      </w:pPr>
      <w:r>
        <w:rPr>
          <w:rFonts w:ascii="Calibri" w:hAnsi="Calibri"/>
          <w:b/>
          <w:bCs/>
          <w:sz w:val="22"/>
          <w:szCs w:val="22"/>
        </w:rPr>
        <w:t>3. ¿Cuál es la diferencia entre esa clasificación? Hacer una pequeña comparación respecto al ente emisor, los sujetos obligados y su forma de emisión.</w:t>
      </w:r>
    </w:p>
    <w:p w14:paraId="346F1D7A" w14:textId="77777777" w:rsidR="004B112B" w:rsidRDefault="004B112B">
      <w:pPr>
        <w:rPr>
          <w:rFonts w:ascii="Calibri" w:hAnsi="Calibri"/>
          <w:b/>
          <w:bCs/>
          <w:sz w:val="22"/>
          <w:szCs w:val="22"/>
        </w:rPr>
      </w:pPr>
    </w:p>
    <w:tbl>
      <w:tblPr>
        <w:tblW w:w="10301" w:type="dxa"/>
        <w:tblInd w:w="-106" w:type="dxa"/>
        <w:tblLayout w:type="fixed"/>
        <w:tblCellMar>
          <w:top w:w="28" w:type="dxa"/>
          <w:left w:w="28" w:type="dxa"/>
          <w:bottom w:w="28" w:type="dxa"/>
          <w:right w:w="28" w:type="dxa"/>
        </w:tblCellMar>
        <w:tblLook w:val="04A0" w:firstRow="1" w:lastRow="0" w:firstColumn="1" w:lastColumn="0" w:noHBand="0" w:noVBand="1"/>
      </w:tblPr>
      <w:tblGrid>
        <w:gridCol w:w="1469"/>
        <w:gridCol w:w="2490"/>
        <w:gridCol w:w="1921"/>
        <w:gridCol w:w="2220"/>
        <w:gridCol w:w="2201"/>
      </w:tblGrid>
      <w:tr w:rsidR="004B112B" w14:paraId="7EAEEE07" w14:textId="77777777">
        <w:tc>
          <w:tcPr>
            <w:tcW w:w="1469" w:type="dxa"/>
            <w:tcBorders>
              <w:top w:val="single" w:sz="6" w:space="0" w:color="000000"/>
              <w:left w:val="single" w:sz="6" w:space="0" w:color="000000"/>
              <w:bottom w:val="single" w:sz="6" w:space="0" w:color="000000"/>
            </w:tcBorders>
          </w:tcPr>
          <w:p w14:paraId="25CAAD56" w14:textId="77777777" w:rsidR="004B112B" w:rsidRDefault="00000000">
            <w:pPr>
              <w:pStyle w:val="Contenidodelatabla"/>
              <w:jc w:val="center"/>
              <w:rPr>
                <w:rFonts w:ascii="Calibri" w:hAnsi="Calibri"/>
                <w:b/>
                <w:bCs/>
                <w:sz w:val="20"/>
                <w:szCs w:val="20"/>
              </w:rPr>
            </w:pPr>
            <w:r>
              <w:rPr>
                <w:rFonts w:ascii="Calibri" w:hAnsi="Calibri"/>
                <w:b/>
                <w:bCs/>
                <w:sz w:val="20"/>
                <w:szCs w:val="20"/>
              </w:rPr>
              <w:t>TIPOS DE NORMAS</w:t>
            </w:r>
          </w:p>
        </w:tc>
        <w:tc>
          <w:tcPr>
            <w:tcW w:w="2490" w:type="dxa"/>
            <w:tcBorders>
              <w:top w:val="single" w:sz="6" w:space="0" w:color="000000"/>
              <w:left w:val="single" w:sz="6" w:space="0" w:color="000000"/>
              <w:bottom w:val="single" w:sz="6" w:space="0" w:color="000000"/>
            </w:tcBorders>
          </w:tcPr>
          <w:p w14:paraId="6B6871D0" w14:textId="77777777" w:rsidR="004B112B" w:rsidRDefault="00000000">
            <w:pPr>
              <w:pStyle w:val="Contenidodelatabla"/>
              <w:jc w:val="center"/>
              <w:rPr>
                <w:rFonts w:ascii="Calibri" w:hAnsi="Calibri"/>
                <w:b/>
                <w:bCs/>
                <w:sz w:val="20"/>
                <w:szCs w:val="20"/>
              </w:rPr>
            </w:pPr>
            <w:r>
              <w:rPr>
                <w:rFonts w:ascii="Calibri" w:hAnsi="Calibri"/>
                <w:b/>
                <w:bCs/>
                <w:sz w:val="20"/>
                <w:szCs w:val="20"/>
              </w:rPr>
              <w:t>EMISOR</w:t>
            </w:r>
          </w:p>
        </w:tc>
        <w:tc>
          <w:tcPr>
            <w:tcW w:w="1921" w:type="dxa"/>
            <w:tcBorders>
              <w:top w:val="single" w:sz="6" w:space="0" w:color="000000"/>
              <w:left w:val="single" w:sz="6" w:space="0" w:color="000000"/>
              <w:bottom w:val="single" w:sz="6" w:space="0" w:color="000000"/>
            </w:tcBorders>
          </w:tcPr>
          <w:p w14:paraId="20E333E6" w14:textId="77777777" w:rsidR="004B112B" w:rsidRDefault="00000000">
            <w:pPr>
              <w:pStyle w:val="Contenidodelatabla"/>
              <w:jc w:val="center"/>
              <w:rPr>
                <w:rFonts w:ascii="Calibri" w:hAnsi="Calibri"/>
                <w:b/>
                <w:bCs/>
                <w:sz w:val="20"/>
                <w:szCs w:val="20"/>
              </w:rPr>
            </w:pPr>
            <w:r>
              <w:rPr>
                <w:rFonts w:ascii="Calibri" w:hAnsi="Calibri"/>
                <w:b/>
                <w:bCs/>
                <w:sz w:val="20"/>
                <w:szCs w:val="20"/>
              </w:rPr>
              <w:t>CARÁCTER DE LA NORMA</w:t>
            </w:r>
          </w:p>
        </w:tc>
        <w:tc>
          <w:tcPr>
            <w:tcW w:w="2220" w:type="dxa"/>
            <w:tcBorders>
              <w:top w:val="single" w:sz="6" w:space="0" w:color="000000"/>
              <w:left w:val="single" w:sz="6" w:space="0" w:color="000000"/>
              <w:bottom w:val="single" w:sz="6" w:space="0" w:color="000000"/>
            </w:tcBorders>
          </w:tcPr>
          <w:p w14:paraId="474AB16E" w14:textId="77777777" w:rsidR="004B112B" w:rsidRDefault="00000000">
            <w:pPr>
              <w:pStyle w:val="Contenidodelatabla"/>
              <w:jc w:val="center"/>
              <w:rPr>
                <w:rFonts w:ascii="Calibri" w:hAnsi="Calibri"/>
                <w:b/>
                <w:bCs/>
                <w:sz w:val="20"/>
                <w:szCs w:val="20"/>
              </w:rPr>
            </w:pPr>
            <w:r>
              <w:rPr>
                <w:rFonts w:ascii="Calibri" w:hAnsi="Calibri"/>
                <w:b/>
                <w:bCs/>
                <w:sz w:val="20"/>
                <w:szCs w:val="20"/>
              </w:rPr>
              <w:t>SUJETOS OBLIGADOS</w:t>
            </w:r>
          </w:p>
        </w:tc>
        <w:tc>
          <w:tcPr>
            <w:tcW w:w="2201" w:type="dxa"/>
            <w:tcBorders>
              <w:top w:val="single" w:sz="6" w:space="0" w:color="000000"/>
              <w:left w:val="single" w:sz="6" w:space="0" w:color="000000"/>
              <w:bottom w:val="single" w:sz="6" w:space="0" w:color="000000"/>
              <w:right w:val="single" w:sz="6" w:space="0" w:color="000000"/>
            </w:tcBorders>
          </w:tcPr>
          <w:p w14:paraId="1785AF9E" w14:textId="77777777" w:rsidR="004B112B" w:rsidRDefault="00000000">
            <w:pPr>
              <w:pStyle w:val="Contenidodelatabla"/>
              <w:jc w:val="center"/>
              <w:rPr>
                <w:rFonts w:ascii="Calibri" w:hAnsi="Calibri"/>
                <w:b/>
                <w:bCs/>
                <w:sz w:val="20"/>
                <w:szCs w:val="20"/>
              </w:rPr>
            </w:pPr>
            <w:r>
              <w:rPr>
                <w:rFonts w:ascii="Calibri" w:hAnsi="Calibri"/>
                <w:b/>
                <w:bCs/>
                <w:sz w:val="20"/>
                <w:szCs w:val="20"/>
              </w:rPr>
              <w:t>INFORMES ALCANZADOS</w:t>
            </w:r>
          </w:p>
        </w:tc>
      </w:tr>
      <w:tr w:rsidR="004B112B" w14:paraId="1B0C08AC" w14:textId="77777777">
        <w:tc>
          <w:tcPr>
            <w:tcW w:w="1469" w:type="dxa"/>
            <w:vMerge w:val="restart"/>
            <w:tcBorders>
              <w:left w:val="single" w:sz="6" w:space="0" w:color="000000"/>
              <w:bottom w:val="single" w:sz="6" w:space="0" w:color="000000"/>
            </w:tcBorders>
          </w:tcPr>
          <w:p w14:paraId="17EE7423" w14:textId="77777777" w:rsidR="004B112B" w:rsidRDefault="004B112B">
            <w:pPr>
              <w:pStyle w:val="Contenidodelatabla"/>
              <w:jc w:val="center"/>
              <w:rPr>
                <w:rFonts w:ascii="Calibri" w:hAnsi="Calibri"/>
                <w:sz w:val="22"/>
                <w:szCs w:val="22"/>
              </w:rPr>
            </w:pPr>
          </w:p>
          <w:p w14:paraId="31EA2447" w14:textId="77777777" w:rsidR="004B112B" w:rsidRDefault="00000000">
            <w:pPr>
              <w:pStyle w:val="Contenidodelatabla"/>
              <w:jc w:val="center"/>
              <w:rPr>
                <w:rFonts w:ascii="Calibri" w:hAnsi="Calibri"/>
                <w:sz w:val="22"/>
                <w:szCs w:val="22"/>
              </w:rPr>
            </w:pPr>
            <w:r>
              <w:rPr>
                <w:rFonts w:ascii="Calibri" w:hAnsi="Calibri"/>
                <w:sz w:val="22"/>
                <w:szCs w:val="22"/>
              </w:rPr>
              <w:t>Normas Legales</w:t>
            </w:r>
          </w:p>
        </w:tc>
        <w:tc>
          <w:tcPr>
            <w:tcW w:w="2490" w:type="dxa"/>
            <w:tcBorders>
              <w:left w:val="single" w:sz="6" w:space="0" w:color="000000"/>
              <w:bottom w:val="single" w:sz="6" w:space="0" w:color="000000"/>
            </w:tcBorders>
          </w:tcPr>
          <w:p w14:paraId="7E7E8F28" w14:textId="77777777" w:rsidR="004B112B" w:rsidRDefault="00000000">
            <w:pPr>
              <w:pStyle w:val="Contenidodelatabla"/>
              <w:jc w:val="center"/>
              <w:rPr>
                <w:rFonts w:ascii="Calibri" w:hAnsi="Calibri"/>
                <w:sz w:val="22"/>
                <w:szCs w:val="22"/>
              </w:rPr>
            </w:pPr>
            <w:r>
              <w:rPr>
                <w:rFonts w:ascii="Calibri" w:hAnsi="Calibri"/>
                <w:sz w:val="22"/>
                <w:szCs w:val="22"/>
              </w:rPr>
              <w:t>El Estado</w:t>
            </w:r>
          </w:p>
        </w:tc>
        <w:tc>
          <w:tcPr>
            <w:tcW w:w="1921" w:type="dxa"/>
            <w:tcBorders>
              <w:left w:val="single" w:sz="6" w:space="0" w:color="000000"/>
              <w:bottom w:val="single" w:sz="6" w:space="0" w:color="000000"/>
            </w:tcBorders>
          </w:tcPr>
          <w:p w14:paraId="5846E9CA" w14:textId="77777777" w:rsidR="004B112B" w:rsidRDefault="00000000">
            <w:pPr>
              <w:pStyle w:val="Contenidodelatabla"/>
              <w:jc w:val="center"/>
              <w:rPr>
                <w:rFonts w:ascii="Calibri" w:hAnsi="Calibri"/>
                <w:sz w:val="22"/>
                <w:szCs w:val="22"/>
              </w:rPr>
            </w:pPr>
            <w:r>
              <w:rPr>
                <w:rFonts w:ascii="Calibri" w:hAnsi="Calibri"/>
                <w:sz w:val="22"/>
                <w:szCs w:val="22"/>
              </w:rPr>
              <w:t>Leyes y Decretos</w:t>
            </w:r>
          </w:p>
        </w:tc>
        <w:tc>
          <w:tcPr>
            <w:tcW w:w="2220" w:type="dxa"/>
            <w:vMerge w:val="restart"/>
            <w:tcBorders>
              <w:left w:val="single" w:sz="6" w:space="0" w:color="000000"/>
              <w:bottom w:val="single" w:sz="6" w:space="0" w:color="000000"/>
            </w:tcBorders>
          </w:tcPr>
          <w:p w14:paraId="3383D8C1" w14:textId="77777777" w:rsidR="004B112B" w:rsidRDefault="00000000">
            <w:pPr>
              <w:pStyle w:val="Contenidodelatabla"/>
              <w:jc w:val="center"/>
              <w:rPr>
                <w:rFonts w:ascii="Calibri" w:hAnsi="Calibri"/>
                <w:sz w:val="22"/>
                <w:szCs w:val="22"/>
              </w:rPr>
            </w:pPr>
            <w:r>
              <w:rPr>
                <w:rFonts w:ascii="Calibri" w:hAnsi="Calibri"/>
                <w:sz w:val="22"/>
                <w:szCs w:val="22"/>
              </w:rPr>
              <w:t>Entes emisores de estados contables (o estados financieros)</w:t>
            </w:r>
          </w:p>
        </w:tc>
        <w:tc>
          <w:tcPr>
            <w:tcW w:w="2201" w:type="dxa"/>
            <w:vMerge w:val="restart"/>
            <w:tcBorders>
              <w:left w:val="single" w:sz="6" w:space="0" w:color="000000"/>
              <w:bottom w:val="single" w:sz="6" w:space="0" w:color="000000"/>
              <w:right w:val="single" w:sz="6" w:space="0" w:color="000000"/>
            </w:tcBorders>
          </w:tcPr>
          <w:p w14:paraId="641F2CF1" w14:textId="77777777" w:rsidR="004B112B" w:rsidRDefault="00000000">
            <w:pPr>
              <w:pStyle w:val="Contenidodelatabla"/>
              <w:jc w:val="center"/>
              <w:rPr>
                <w:rFonts w:ascii="Calibri" w:hAnsi="Calibri"/>
                <w:sz w:val="22"/>
                <w:szCs w:val="22"/>
              </w:rPr>
            </w:pPr>
            <w:r>
              <w:rPr>
                <w:rFonts w:ascii="Calibri" w:hAnsi="Calibri"/>
                <w:sz w:val="22"/>
                <w:szCs w:val="22"/>
              </w:rPr>
              <w:t>Los estados contados contables (o estados financieros) de publicación</w:t>
            </w:r>
          </w:p>
        </w:tc>
      </w:tr>
      <w:tr w:rsidR="004B112B" w14:paraId="33B838E1" w14:textId="77777777">
        <w:tc>
          <w:tcPr>
            <w:tcW w:w="1469" w:type="dxa"/>
            <w:vMerge/>
            <w:tcBorders>
              <w:left w:val="single" w:sz="6" w:space="0" w:color="000000"/>
              <w:bottom w:val="single" w:sz="6" w:space="0" w:color="000000"/>
            </w:tcBorders>
          </w:tcPr>
          <w:p w14:paraId="37B57046" w14:textId="77777777" w:rsidR="004B112B" w:rsidRDefault="004B112B">
            <w:pPr>
              <w:pStyle w:val="Contenidodelatabla"/>
              <w:rPr>
                <w:rFonts w:ascii="Calibri" w:hAnsi="Calibri"/>
                <w:sz w:val="22"/>
                <w:szCs w:val="22"/>
              </w:rPr>
            </w:pPr>
          </w:p>
        </w:tc>
        <w:tc>
          <w:tcPr>
            <w:tcW w:w="2490" w:type="dxa"/>
            <w:tcBorders>
              <w:left w:val="single" w:sz="6" w:space="0" w:color="000000"/>
              <w:bottom w:val="single" w:sz="6" w:space="0" w:color="000000"/>
            </w:tcBorders>
          </w:tcPr>
          <w:p w14:paraId="46A0F356" w14:textId="77777777" w:rsidR="004B112B" w:rsidRDefault="00000000">
            <w:pPr>
              <w:pStyle w:val="Contenidodelatabla"/>
              <w:jc w:val="center"/>
              <w:rPr>
                <w:rFonts w:ascii="Calibri" w:hAnsi="Calibri"/>
                <w:sz w:val="22"/>
                <w:szCs w:val="22"/>
              </w:rPr>
            </w:pPr>
            <w:r>
              <w:rPr>
                <w:rFonts w:ascii="Calibri" w:hAnsi="Calibri"/>
                <w:sz w:val="22"/>
                <w:szCs w:val="22"/>
              </w:rPr>
              <w:t>Los organismos de control fiscal</w:t>
            </w:r>
          </w:p>
        </w:tc>
        <w:tc>
          <w:tcPr>
            <w:tcW w:w="1921" w:type="dxa"/>
            <w:tcBorders>
              <w:left w:val="single" w:sz="6" w:space="0" w:color="000000"/>
              <w:bottom w:val="single" w:sz="6" w:space="0" w:color="000000"/>
            </w:tcBorders>
          </w:tcPr>
          <w:p w14:paraId="27A41624" w14:textId="77777777" w:rsidR="004B112B" w:rsidRDefault="00000000">
            <w:pPr>
              <w:pStyle w:val="Contenidodelatabla"/>
              <w:jc w:val="center"/>
              <w:rPr>
                <w:rFonts w:ascii="Calibri" w:hAnsi="Calibri"/>
                <w:sz w:val="22"/>
                <w:szCs w:val="22"/>
              </w:rPr>
            </w:pPr>
            <w:r>
              <w:rPr>
                <w:rFonts w:ascii="Calibri" w:hAnsi="Calibri"/>
                <w:sz w:val="22"/>
                <w:szCs w:val="22"/>
              </w:rPr>
              <w:t>Resoluciones, disposiciones, etc.</w:t>
            </w:r>
          </w:p>
        </w:tc>
        <w:tc>
          <w:tcPr>
            <w:tcW w:w="2220" w:type="dxa"/>
            <w:vMerge/>
            <w:tcBorders>
              <w:left w:val="single" w:sz="6" w:space="0" w:color="000000"/>
              <w:bottom w:val="single" w:sz="6" w:space="0" w:color="000000"/>
            </w:tcBorders>
          </w:tcPr>
          <w:p w14:paraId="5CF22C22" w14:textId="77777777" w:rsidR="004B112B" w:rsidRDefault="004B112B">
            <w:pPr>
              <w:pStyle w:val="Contenidodelatabla"/>
              <w:rPr>
                <w:rFonts w:ascii="Calibri" w:hAnsi="Calibri"/>
                <w:sz w:val="22"/>
                <w:szCs w:val="22"/>
              </w:rPr>
            </w:pPr>
          </w:p>
        </w:tc>
        <w:tc>
          <w:tcPr>
            <w:tcW w:w="2201" w:type="dxa"/>
            <w:vMerge/>
            <w:tcBorders>
              <w:left w:val="single" w:sz="6" w:space="0" w:color="000000"/>
              <w:bottom w:val="single" w:sz="6" w:space="0" w:color="000000"/>
              <w:right w:val="single" w:sz="6" w:space="0" w:color="000000"/>
            </w:tcBorders>
          </w:tcPr>
          <w:p w14:paraId="5193F203" w14:textId="77777777" w:rsidR="004B112B" w:rsidRDefault="004B112B">
            <w:pPr>
              <w:pStyle w:val="Contenidodelatabla"/>
              <w:rPr>
                <w:rFonts w:ascii="Calibri" w:hAnsi="Calibri"/>
                <w:sz w:val="22"/>
                <w:szCs w:val="22"/>
              </w:rPr>
            </w:pPr>
          </w:p>
        </w:tc>
      </w:tr>
      <w:tr w:rsidR="004B112B" w14:paraId="00BB3B40" w14:textId="77777777">
        <w:tc>
          <w:tcPr>
            <w:tcW w:w="1469" w:type="dxa"/>
            <w:tcBorders>
              <w:left w:val="single" w:sz="6" w:space="0" w:color="000000"/>
              <w:bottom w:val="single" w:sz="6" w:space="0" w:color="000000"/>
            </w:tcBorders>
          </w:tcPr>
          <w:p w14:paraId="3D6AD6C5" w14:textId="77777777" w:rsidR="004B112B" w:rsidRDefault="004B112B">
            <w:pPr>
              <w:pStyle w:val="Contenidodelatabla"/>
              <w:jc w:val="center"/>
              <w:rPr>
                <w:rFonts w:ascii="Calibri" w:hAnsi="Calibri"/>
                <w:sz w:val="22"/>
                <w:szCs w:val="22"/>
              </w:rPr>
            </w:pPr>
          </w:p>
          <w:p w14:paraId="46BE24E6" w14:textId="77777777" w:rsidR="004B112B" w:rsidRDefault="004B112B">
            <w:pPr>
              <w:pStyle w:val="Contenidodelatabla"/>
              <w:jc w:val="center"/>
              <w:rPr>
                <w:rFonts w:ascii="Calibri" w:hAnsi="Calibri"/>
                <w:sz w:val="22"/>
                <w:szCs w:val="22"/>
              </w:rPr>
            </w:pPr>
          </w:p>
          <w:p w14:paraId="079A6386" w14:textId="77777777" w:rsidR="004B112B" w:rsidRDefault="004B112B">
            <w:pPr>
              <w:pStyle w:val="Contenidodelatabla"/>
              <w:jc w:val="center"/>
              <w:rPr>
                <w:rFonts w:ascii="Calibri" w:hAnsi="Calibri"/>
                <w:sz w:val="22"/>
                <w:szCs w:val="22"/>
              </w:rPr>
            </w:pPr>
          </w:p>
          <w:p w14:paraId="48E8C899" w14:textId="77777777" w:rsidR="004B112B" w:rsidRDefault="00000000">
            <w:pPr>
              <w:pStyle w:val="Contenidodelatabla"/>
              <w:jc w:val="center"/>
              <w:rPr>
                <w:rFonts w:ascii="Calibri" w:hAnsi="Calibri"/>
                <w:sz w:val="22"/>
                <w:szCs w:val="22"/>
              </w:rPr>
            </w:pPr>
            <w:r>
              <w:rPr>
                <w:rFonts w:ascii="Calibri" w:hAnsi="Calibri"/>
                <w:sz w:val="22"/>
                <w:szCs w:val="22"/>
              </w:rPr>
              <w:t>Normas Profesionales</w:t>
            </w:r>
          </w:p>
        </w:tc>
        <w:tc>
          <w:tcPr>
            <w:tcW w:w="2490" w:type="dxa"/>
            <w:tcBorders>
              <w:left w:val="single" w:sz="6" w:space="0" w:color="000000"/>
              <w:bottom w:val="single" w:sz="6" w:space="0" w:color="000000"/>
            </w:tcBorders>
          </w:tcPr>
          <w:p w14:paraId="256462E9" w14:textId="77777777" w:rsidR="004B112B" w:rsidRDefault="00000000">
            <w:pPr>
              <w:pStyle w:val="Contenidodelatabla"/>
              <w:jc w:val="center"/>
              <w:rPr>
                <w:rFonts w:ascii="Calibri" w:hAnsi="Calibri"/>
                <w:sz w:val="22"/>
                <w:szCs w:val="22"/>
              </w:rPr>
            </w:pPr>
            <w:r>
              <w:rPr>
                <w:rFonts w:ascii="Calibri" w:hAnsi="Calibri"/>
                <w:sz w:val="22"/>
                <w:szCs w:val="22"/>
              </w:rPr>
              <w:t>Los Consejos Profesionales de Ciencias Económicas (CPCE) de cada jurisdicción, basados en los pronunciamientos técnicos de la Federación Argentina de Consejos Profesionales (FACPCE): Resoluciones técnicas e interpretaciones</w:t>
            </w:r>
          </w:p>
        </w:tc>
        <w:tc>
          <w:tcPr>
            <w:tcW w:w="1921" w:type="dxa"/>
            <w:tcBorders>
              <w:left w:val="single" w:sz="6" w:space="0" w:color="000000"/>
              <w:bottom w:val="single" w:sz="6" w:space="0" w:color="000000"/>
            </w:tcBorders>
          </w:tcPr>
          <w:p w14:paraId="17334982" w14:textId="77777777" w:rsidR="004B112B" w:rsidRDefault="00000000">
            <w:pPr>
              <w:pStyle w:val="Contenidodelatabla"/>
              <w:jc w:val="center"/>
              <w:rPr>
                <w:rFonts w:ascii="Calibri" w:hAnsi="Calibri"/>
                <w:sz w:val="22"/>
                <w:szCs w:val="22"/>
              </w:rPr>
            </w:pPr>
            <w:r>
              <w:rPr>
                <w:rFonts w:ascii="Calibri" w:hAnsi="Calibri"/>
                <w:sz w:val="22"/>
                <w:szCs w:val="22"/>
              </w:rPr>
              <w:t>Resoluciones técnicas e interpretaciones (Principalmente)</w:t>
            </w:r>
          </w:p>
        </w:tc>
        <w:tc>
          <w:tcPr>
            <w:tcW w:w="2220" w:type="dxa"/>
            <w:tcBorders>
              <w:left w:val="single" w:sz="6" w:space="0" w:color="000000"/>
              <w:bottom w:val="single" w:sz="6" w:space="0" w:color="000000"/>
            </w:tcBorders>
          </w:tcPr>
          <w:p w14:paraId="2597B0EF" w14:textId="77777777" w:rsidR="004B112B" w:rsidRDefault="00000000">
            <w:pPr>
              <w:pStyle w:val="Contenidodelatabla"/>
              <w:jc w:val="center"/>
              <w:rPr>
                <w:rFonts w:ascii="Calibri" w:hAnsi="Calibri"/>
                <w:sz w:val="22"/>
                <w:szCs w:val="22"/>
              </w:rPr>
            </w:pPr>
            <w:r>
              <w:rPr>
                <w:rFonts w:ascii="Calibri" w:hAnsi="Calibri"/>
                <w:sz w:val="22"/>
                <w:szCs w:val="22"/>
              </w:rPr>
              <w:t>Los profesionales matriculados en cada uno de los Consejos Profesionales que actúen como revisores (auditores externos) de los estados contables (o estados financieros)</w:t>
            </w:r>
          </w:p>
        </w:tc>
        <w:tc>
          <w:tcPr>
            <w:tcW w:w="2201" w:type="dxa"/>
            <w:tcBorders>
              <w:left w:val="single" w:sz="6" w:space="0" w:color="000000"/>
              <w:bottom w:val="single" w:sz="6" w:space="0" w:color="000000"/>
              <w:right w:val="single" w:sz="6" w:space="0" w:color="000000"/>
            </w:tcBorders>
          </w:tcPr>
          <w:p w14:paraId="476B76D9" w14:textId="77777777" w:rsidR="004B112B" w:rsidRDefault="00000000">
            <w:pPr>
              <w:pStyle w:val="Contenidodelatabla"/>
              <w:jc w:val="center"/>
              <w:rPr>
                <w:rFonts w:ascii="Calibri" w:hAnsi="Calibri"/>
                <w:sz w:val="22"/>
                <w:szCs w:val="22"/>
              </w:rPr>
            </w:pPr>
            <w:r>
              <w:rPr>
                <w:rFonts w:ascii="Calibri" w:hAnsi="Calibri"/>
                <w:sz w:val="22"/>
                <w:szCs w:val="22"/>
              </w:rPr>
              <w:t>Los estados contados contables (o estados financieros) de publicación</w:t>
            </w:r>
          </w:p>
        </w:tc>
      </w:tr>
      <w:tr w:rsidR="004B112B" w14:paraId="316FBE10" w14:textId="77777777">
        <w:tc>
          <w:tcPr>
            <w:tcW w:w="1469" w:type="dxa"/>
            <w:tcBorders>
              <w:left w:val="single" w:sz="6" w:space="0" w:color="000000"/>
              <w:bottom w:val="single" w:sz="6" w:space="0" w:color="000000"/>
            </w:tcBorders>
          </w:tcPr>
          <w:p w14:paraId="29DCC69D" w14:textId="77777777" w:rsidR="004B112B" w:rsidRDefault="004B112B">
            <w:pPr>
              <w:pStyle w:val="Contenidodelatabla"/>
              <w:jc w:val="center"/>
              <w:rPr>
                <w:rFonts w:ascii="Calibri" w:hAnsi="Calibri"/>
                <w:sz w:val="22"/>
                <w:szCs w:val="22"/>
              </w:rPr>
            </w:pPr>
          </w:p>
          <w:p w14:paraId="15BC5001" w14:textId="77777777" w:rsidR="004B112B" w:rsidRDefault="00000000">
            <w:pPr>
              <w:pStyle w:val="Contenidodelatabla"/>
              <w:jc w:val="center"/>
              <w:rPr>
                <w:rFonts w:ascii="Calibri" w:hAnsi="Calibri"/>
                <w:sz w:val="22"/>
                <w:szCs w:val="22"/>
              </w:rPr>
            </w:pPr>
            <w:r>
              <w:rPr>
                <w:rFonts w:ascii="Calibri" w:hAnsi="Calibri"/>
                <w:sz w:val="22"/>
                <w:szCs w:val="22"/>
              </w:rPr>
              <w:t>Normas internas de la Organización</w:t>
            </w:r>
          </w:p>
        </w:tc>
        <w:tc>
          <w:tcPr>
            <w:tcW w:w="2490" w:type="dxa"/>
            <w:tcBorders>
              <w:left w:val="single" w:sz="6" w:space="0" w:color="000000"/>
              <w:bottom w:val="single" w:sz="6" w:space="0" w:color="000000"/>
            </w:tcBorders>
          </w:tcPr>
          <w:p w14:paraId="7455E29B" w14:textId="77777777" w:rsidR="004B112B" w:rsidRDefault="00000000">
            <w:pPr>
              <w:pStyle w:val="Contenidodelatabla"/>
              <w:jc w:val="center"/>
              <w:rPr>
                <w:rFonts w:ascii="Calibri" w:hAnsi="Calibri"/>
                <w:sz w:val="22"/>
                <w:szCs w:val="22"/>
              </w:rPr>
            </w:pPr>
            <w:r>
              <w:rPr>
                <w:rFonts w:ascii="Calibri" w:hAnsi="Calibri"/>
                <w:sz w:val="22"/>
                <w:szCs w:val="22"/>
              </w:rPr>
              <w:t>El órgano de administración, y/o los departamentos o sectores, teniendo en cuenta sus propias necesidades</w:t>
            </w:r>
          </w:p>
        </w:tc>
        <w:tc>
          <w:tcPr>
            <w:tcW w:w="1921" w:type="dxa"/>
            <w:tcBorders>
              <w:left w:val="single" w:sz="6" w:space="0" w:color="000000"/>
              <w:bottom w:val="single" w:sz="6" w:space="0" w:color="000000"/>
            </w:tcBorders>
          </w:tcPr>
          <w:p w14:paraId="1DE34B42" w14:textId="77777777" w:rsidR="004B112B" w:rsidRDefault="00000000">
            <w:pPr>
              <w:pStyle w:val="Contenidodelatabla"/>
              <w:jc w:val="center"/>
              <w:rPr>
                <w:rFonts w:ascii="Calibri" w:hAnsi="Calibri"/>
                <w:sz w:val="22"/>
                <w:szCs w:val="22"/>
              </w:rPr>
            </w:pPr>
            <w:r>
              <w:rPr>
                <w:rFonts w:ascii="Calibri" w:hAnsi="Calibri"/>
                <w:sz w:val="22"/>
                <w:szCs w:val="22"/>
              </w:rPr>
              <w:t>Reglas y procedimientos que optimicen el funcionamiento del sistema contable</w:t>
            </w:r>
          </w:p>
        </w:tc>
        <w:tc>
          <w:tcPr>
            <w:tcW w:w="2220" w:type="dxa"/>
            <w:tcBorders>
              <w:left w:val="single" w:sz="6" w:space="0" w:color="000000"/>
              <w:bottom w:val="single" w:sz="6" w:space="0" w:color="000000"/>
            </w:tcBorders>
          </w:tcPr>
          <w:p w14:paraId="33CAF746" w14:textId="77777777" w:rsidR="004B112B" w:rsidRDefault="00000000">
            <w:pPr>
              <w:pStyle w:val="Contenidodelatabla"/>
              <w:jc w:val="center"/>
              <w:rPr>
                <w:rFonts w:ascii="Calibri" w:hAnsi="Calibri"/>
                <w:sz w:val="22"/>
                <w:szCs w:val="22"/>
              </w:rPr>
            </w:pPr>
            <w:r>
              <w:rPr>
                <w:rFonts w:ascii="Calibri" w:hAnsi="Calibri"/>
                <w:sz w:val="22"/>
                <w:szCs w:val="22"/>
              </w:rPr>
              <w:t>Los miembros de la organización, del departamento o del sector correspondiente</w:t>
            </w:r>
          </w:p>
        </w:tc>
        <w:tc>
          <w:tcPr>
            <w:tcW w:w="2201" w:type="dxa"/>
            <w:tcBorders>
              <w:left w:val="single" w:sz="6" w:space="0" w:color="000000"/>
              <w:bottom w:val="single" w:sz="6" w:space="0" w:color="000000"/>
              <w:right w:val="single" w:sz="6" w:space="0" w:color="000000"/>
            </w:tcBorders>
          </w:tcPr>
          <w:p w14:paraId="0C7CF92C" w14:textId="77777777" w:rsidR="004B112B" w:rsidRDefault="00000000">
            <w:pPr>
              <w:pStyle w:val="Contenidodelatabla"/>
              <w:jc w:val="center"/>
              <w:rPr>
                <w:rFonts w:ascii="Calibri" w:hAnsi="Calibri"/>
                <w:sz w:val="22"/>
                <w:szCs w:val="22"/>
              </w:rPr>
            </w:pPr>
            <w:r>
              <w:rPr>
                <w:rFonts w:ascii="Calibri" w:hAnsi="Calibri"/>
                <w:sz w:val="22"/>
                <w:szCs w:val="22"/>
              </w:rPr>
              <w:t>Los informes de gestión y, eventualmente los informes patrimoniales</w:t>
            </w:r>
          </w:p>
        </w:tc>
      </w:tr>
    </w:tbl>
    <w:p w14:paraId="26DB44AE" w14:textId="77777777" w:rsidR="004B112B" w:rsidRDefault="004B112B">
      <w:pPr>
        <w:rPr>
          <w:rFonts w:ascii="Calibri" w:hAnsi="Calibri"/>
        </w:rPr>
      </w:pPr>
    </w:p>
    <w:p w14:paraId="44E68B05" w14:textId="77777777" w:rsidR="004B112B" w:rsidRDefault="00000000">
      <w:pPr>
        <w:rPr>
          <w:rFonts w:ascii="Calibri" w:hAnsi="Calibri"/>
          <w:b/>
          <w:bCs/>
        </w:rPr>
      </w:pPr>
      <w:r>
        <w:rPr>
          <w:rFonts w:ascii="Calibri" w:hAnsi="Calibri"/>
          <w:b/>
          <w:bCs/>
          <w:sz w:val="22"/>
          <w:szCs w:val="22"/>
        </w:rPr>
        <w:t>4. ¿Qué es la F.A.C.P.C.E.?</w:t>
      </w:r>
    </w:p>
    <w:p w14:paraId="5B70276A" w14:textId="77777777" w:rsidR="004B112B" w:rsidRDefault="00000000">
      <w:pPr>
        <w:pStyle w:val="Textoindependiente"/>
        <w:jc w:val="both"/>
        <w:rPr>
          <w:rFonts w:hint="eastAsia"/>
        </w:rPr>
      </w:pPr>
      <w:r>
        <w:rPr>
          <w:rFonts w:ascii="Calibri" w:hAnsi="Calibri"/>
          <w:sz w:val="22"/>
          <w:szCs w:val="22"/>
        </w:rPr>
        <w:t xml:space="preserve">Es el </w:t>
      </w:r>
      <w:r>
        <w:rPr>
          <w:rStyle w:val="Textoennegrita"/>
          <w:rFonts w:ascii="Calibri" w:hAnsi="Calibri"/>
          <w:b w:val="0"/>
          <w:bCs w:val="0"/>
          <w:sz w:val="22"/>
          <w:szCs w:val="22"/>
        </w:rPr>
        <w:t>organismo que agrupa a todos los Consejos Profesionales de Ciencias Económicas del país</w:t>
      </w:r>
      <w:r>
        <w:rPr>
          <w:rFonts w:ascii="Calibri" w:hAnsi="Calibri"/>
          <w:sz w:val="22"/>
          <w:szCs w:val="22"/>
        </w:rPr>
        <w:t xml:space="preserve">, y tiene como función principal </w:t>
      </w:r>
      <w:r>
        <w:rPr>
          <w:rStyle w:val="Textoennegrita"/>
          <w:rFonts w:ascii="Calibri" w:hAnsi="Calibri"/>
          <w:b w:val="0"/>
          <w:bCs w:val="0"/>
          <w:sz w:val="22"/>
          <w:szCs w:val="22"/>
        </w:rPr>
        <w:t>coordinar, emitir y unificar las normas contables, de auditoría y de ética profesional</w:t>
      </w:r>
      <w:r>
        <w:rPr>
          <w:rFonts w:ascii="Calibri" w:hAnsi="Calibri"/>
          <w:sz w:val="22"/>
          <w:szCs w:val="22"/>
        </w:rPr>
        <w:t xml:space="preserve"> que deben aplicar los contadores públicos en Argentina.</w:t>
      </w:r>
    </w:p>
    <w:p w14:paraId="78A4FD39" w14:textId="77777777" w:rsidR="004B112B" w:rsidRDefault="00000000">
      <w:pPr>
        <w:pStyle w:val="Ttulo3"/>
        <w:rPr>
          <w:rFonts w:hint="eastAsia"/>
        </w:rPr>
      </w:pPr>
      <w:r>
        <w:rPr>
          <w:rStyle w:val="Textoennegrita"/>
          <w:rFonts w:ascii="Calibri" w:hAnsi="Calibri"/>
          <w:b/>
          <w:bCs/>
          <w:sz w:val="22"/>
          <w:szCs w:val="22"/>
          <w:u w:val="single"/>
        </w:rPr>
        <w:lastRenderedPageBreak/>
        <w:t>Funciones principales:</w:t>
      </w:r>
    </w:p>
    <w:p w14:paraId="6C936D3D" w14:textId="77777777" w:rsidR="004B112B" w:rsidRDefault="00000000">
      <w:pPr>
        <w:pStyle w:val="Textoindependiente"/>
        <w:numPr>
          <w:ilvl w:val="0"/>
          <w:numId w:val="1"/>
        </w:numPr>
        <w:tabs>
          <w:tab w:val="clear" w:pos="709"/>
          <w:tab w:val="left" w:pos="225"/>
        </w:tabs>
        <w:ind w:left="227"/>
        <w:rPr>
          <w:rFonts w:hint="eastAsia"/>
        </w:rPr>
      </w:pPr>
      <w:r>
        <w:rPr>
          <w:rStyle w:val="Textoennegrita"/>
          <w:rFonts w:ascii="Calibri" w:hAnsi="Calibri"/>
          <w:b w:val="0"/>
          <w:bCs w:val="0"/>
          <w:sz w:val="22"/>
          <w:szCs w:val="22"/>
        </w:rPr>
        <w:t>Emitir normas técnicas</w:t>
      </w:r>
      <w:r>
        <w:rPr>
          <w:rFonts w:ascii="Calibri" w:hAnsi="Calibri"/>
          <w:sz w:val="22"/>
          <w:szCs w:val="22"/>
        </w:rPr>
        <w:t xml:space="preserve">: como las </w:t>
      </w:r>
      <w:r>
        <w:rPr>
          <w:rStyle w:val="Textoennegrita"/>
          <w:rFonts w:ascii="Calibri" w:hAnsi="Calibri"/>
          <w:b w:val="0"/>
          <w:bCs w:val="0"/>
          <w:sz w:val="22"/>
          <w:szCs w:val="22"/>
        </w:rPr>
        <w:t>Resoluciones Técnicas (RT)</w:t>
      </w:r>
      <w:r>
        <w:rPr>
          <w:rFonts w:ascii="Calibri" w:hAnsi="Calibri"/>
          <w:sz w:val="22"/>
          <w:szCs w:val="22"/>
        </w:rPr>
        <w:t xml:space="preserve"> que establecen los criterios contables y de auditoría de aplicación general.</w:t>
      </w:r>
    </w:p>
    <w:p w14:paraId="6ED2AEF9" w14:textId="77777777" w:rsidR="004B112B" w:rsidRDefault="00000000">
      <w:pPr>
        <w:pStyle w:val="Textoindependiente"/>
        <w:numPr>
          <w:ilvl w:val="0"/>
          <w:numId w:val="1"/>
        </w:numPr>
        <w:tabs>
          <w:tab w:val="clear" w:pos="709"/>
          <w:tab w:val="left" w:pos="0"/>
        </w:tabs>
        <w:ind w:left="227"/>
        <w:rPr>
          <w:rFonts w:hint="eastAsia"/>
        </w:rPr>
      </w:pPr>
      <w:r>
        <w:rPr>
          <w:rStyle w:val="Textoennegrita"/>
          <w:rFonts w:ascii="Calibri" w:hAnsi="Calibri"/>
          <w:b w:val="0"/>
          <w:bCs w:val="0"/>
          <w:sz w:val="22"/>
          <w:szCs w:val="22"/>
        </w:rPr>
        <w:t>Unificar criterios profesionales</w:t>
      </w:r>
      <w:r>
        <w:rPr>
          <w:rFonts w:ascii="Calibri" w:hAnsi="Calibri"/>
          <w:sz w:val="22"/>
          <w:szCs w:val="22"/>
        </w:rPr>
        <w:t xml:space="preserve"> entre los distintos Consejos Provinciales.</w:t>
      </w:r>
    </w:p>
    <w:p w14:paraId="238F835D" w14:textId="77777777" w:rsidR="004B112B" w:rsidRDefault="00000000">
      <w:pPr>
        <w:pStyle w:val="Textoindependiente"/>
        <w:numPr>
          <w:ilvl w:val="0"/>
          <w:numId w:val="1"/>
        </w:numPr>
        <w:tabs>
          <w:tab w:val="clear" w:pos="709"/>
          <w:tab w:val="left" w:pos="0"/>
        </w:tabs>
        <w:ind w:left="227"/>
        <w:rPr>
          <w:rFonts w:hint="eastAsia"/>
        </w:rPr>
      </w:pPr>
      <w:r>
        <w:rPr>
          <w:rStyle w:val="Textoennegrita"/>
          <w:rFonts w:ascii="Calibri" w:hAnsi="Calibri"/>
          <w:b w:val="0"/>
          <w:bCs w:val="0"/>
          <w:sz w:val="22"/>
          <w:szCs w:val="22"/>
        </w:rPr>
        <w:t>Representar</w:t>
      </w:r>
      <w:r>
        <w:rPr>
          <w:rFonts w:ascii="Calibri" w:hAnsi="Calibri"/>
          <w:sz w:val="22"/>
          <w:szCs w:val="22"/>
        </w:rPr>
        <w:t xml:space="preserve"> a los profesionales de ciencias económicas ante organismos nacionales e internacionales.</w:t>
      </w:r>
    </w:p>
    <w:p w14:paraId="53AF58D5" w14:textId="77777777" w:rsidR="004B112B" w:rsidRDefault="00000000">
      <w:pPr>
        <w:pStyle w:val="Textoindependiente"/>
        <w:numPr>
          <w:ilvl w:val="0"/>
          <w:numId w:val="1"/>
        </w:numPr>
        <w:tabs>
          <w:tab w:val="clear" w:pos="709"/>
          <w:tab w:val="left" w:pos="0"/>
        </w:tabs>
        <w:ind w:left="227"/>
        <w:rPr>
          <w:rFonts w:hint="eastAsia"/>
        </w:rPr>
      </w:pPr>
      <w:r>
        <w:rPr>
          <w:rStyle w:val="Textoennegrita"/>
          <w:rFonts w:ascii="Calibri" w:hAnsi="Calibri"/>
          <w:b w:val="0"/>
          <w:bCs w:val="0"/>
          <w:sz w:val="22"/>
          <w:szCs w:val="22"/>
        </w:rPr>
        <w:t>Actualizar y adaptar las normas contables</w:t>
      </w:r>
      <w:r>
        <w:rPr>
          <w:rFonts w:ascii="Calibri" w:hAnsi="Calibri"/>
          <w:sz w:val="22"/>
          <w:szCs w:val="22"/>
        </w:rPr>
        <w:t xml:space="preserve"> de acuerdo con los cambios económicos, financieros y legales.</w:t>
      </w:r>
    </w:p>
    <w:p w14:paraId="08EFB940" w14:textId="77777777" w:rsidR="004B112B" w:rsidRDefault="00000000">
      <w:pPr>
        <w:rPr>
          <w:rFonts w:ascii="Calibri" w:hAnsi="Calibri"/>
        </w:rPr>
      </w:pPr>
      <w:r>
        <w:rPr>
          <w:rFonts w:ascii="Calibri" w:hAnsi="Calibri"/>
          <w:b/>
          <w:bCs/>
          <w:sz w:val="22"/>
          <w:szCs w:val="22"/>
        </w:rPr>
        <w:t xml:space="preserve">5. </w:t>
      </w:r>
      <w:proofErr w:type="gramStart"/>
      <w:r>
        <w:rPr>
          <w:rFonts w:ascii="Calibri" w:hAnsi="Calibri"/>
          <w:b/>
          <w:bCs/>
          <w:sz w:val="22"/>
          <w:szCs w:val="22"/>
        </w:rPr>
        <w:t>¿Qué es el CECyT y cuál es su función dentro de la F.</w:t>
      </w:r>
      <w:proofErr w:type="gramEnd"/>
      <w:r>
        <w:rPr>
          <w:rFonts w:ascii="Calibri" w:hAnsi="Calibri"/>
          <w:b/>
          <w:bCs/>
          <w:sz w:val="22"/>
          <w:szCs w:val="22"/>
        </w:rPr>
        <w:t>A.C.P.C.E?</w:t>
      </w:r>
    </w:p>
    <w:p w14:paraId="6FA285DE" w14:textId="77777777" w:rsidR="004B112B" w:rsidRDefault="00000000">
      <w:pPr>
        <w:pStyle w:val="Textoindependiente"/>
        <w:rPr>
          <w:rFonts w:hint="eastAsia"/>
        </w:rPr>
      </w:pPr>
      <w:r>
        <w:rPr>
          <w:rFonts w:ascii="Calibri" w:hAnsi="Calibri"/>
          <w:sz w:val="22"/>
          <w:szCs w:val="22"/>
        </w:rPr>
        <w:t xml:space="preserve">El </w:t>
      </w:r>
      <w:r>
        <w:rPr>
          <w:rStyle w:val="Textoennegrita"/>
          <w:rFonts w:ascii="Calibri" w:hAnsi="Calibri"/>
          <w:b w:val="0"/>
          <w:bCs w:val="0"/>
          <w:sz w:val="22"/>
          <w:szCs w:val="22"/>
        </w:rPr>
        <w:t>CECyT</w:t>
      </w:r>
      <w:r>
        <w:rPr>
          <w:rFonts w:ascii="Calibri" w:hAnsi="Calibri"/>
          <w:sz w:val="22"/>
          <w:szCs w:val="22"/>
        </w:rPr>
        <w:t xml:space="preserve"> es el </w:t>
      </w:r>
      <w:r>
        <w:rPr>
          <w:rStyle w:val="Textoennegrita"/>
          <w:rFonts w:ascii="Calibri" w:hAnsi="Calibri"/>
          <w:b w:val="0"/>
          <w:bCs w:val="0"/>
          <w:sz w:val="22"/>
          <w:szCs w:val="22"/>
        </w:rPr>
        <w:t>Centro de Estudios Científicos y Técnicos</w:t>
      </w:r>
      <w:r>
        <w:rPr>
          <w:rFonts w:ascii="Calibri" w:hAnsi="Calibri"/>
          <w:sz w:val="22"/>
          <w:szCs w:val="22"/>
        </w:rPr>
        <w:t xml:space="preserve"> de la </w:t>
      </w:r>
      <w:r>
        <w:rPr>
          <w:rStyle w:val="Textoennegrita"/>
          <w:rFonts w:ascii="Calibri" w:hAnsi="Calibri"/>
          <w:b w:val="0"/>
          <w:bCs w:val="0"/>
          <w:sz w:val="22"/>
          <w:szCs w:val="22"/>
        </w:rPr>
        <w:t>Federación Argentina de Consejos Profesionales de Ciencias Económicas (F.A.C.P.C.E.)</w:t>
      </w:r>
      <w:r>
        <w:rPr>
          <w:rFonts w:ascii="Calibri" w:hAnsi="Calibri"/>
          <w:sz w:val="22"/>
          <w:szCs w:val="22"/>
        </w:rPr>
        <w:t>.</w:t>
      </w:r>
    </w:p>
    <w:p w14:paraId="48F689A3" w14:textId="77777777" w:rsidR="004B112B" w:rsidRDefault="00000000">
      <w:pPr>
        <w:pStyle w:val="Textoindependiente"/>
        <w:rPr>
          <w:rFonts w:hint="eastAsia"/>
        </w:rPr>
      </w:pPr>
      <w:r>
        <w:rPr>
          <w:rFonts w:ascii="Calibri" w:hAnsi="Calibri"/>
          <w:sz w:val="22"/>
          <w:szCs w:val="22"/>
        </w:rPr>
        <w:t xml:space="preserve">El CECyT es el </w:t>
      </w:r>
      <w:r>
        <w:rPr>
          <w:rStyle w:val="Textoennegrita"/>
          <w:rFonts w:ascii="Calibri" w:hAnsi="Calibri"/>
          <w:b w:val="0"/>
          <w:bCs w:val="0"/>
          <w:sz w:val="22"/>
          <w:szCs w:val="22"/>
        </w:rPr>
        <w:t>órgano técnico de investigación y desarrollo</w:t>
      </w:r>
      <w:r>
        <w:rPr>
          <w:rFonts w:ascii="Calibri" w:hAnsi="Calibri"/>
          <w:sz w:val="22"/>
          <w:szCs w:val="22"/>
        </w:rPr>
        <w:t xml:space="preserve"> de la FACPCE.</w:t>
      </w:r>
      <w:r>
        <w:rPr>
          <w:rFonts w:ascii="Calibri" w:hAnsi="Calibri"/>
          <w:sz w:val="22"/>
          <w:szCs w:val="22"/>
        </w:rPr>
        <w:br/>
        <w:t xml:space="preserve">Su función principal es </w:t>
      </w:r>
      <w:r>
        <w:rPr>
          <w:rStyle w:val="Textoennegrita"/>
          <w:rFonts w:ascii="Calibri" w:hAnsi="Calibri"/>
          <w:b w:val="0"/>
          <w:bCs w:val="0"/>
          <w:sz w:val="22"/>
          <w:szCs w:val="22"/>
        </w:rPr>
        <w:t>estudiar, analizar y proponer normas y lineamientos técnicos</w:t>
      </w:r>
      <w:r>
        <w:rPr>
          <w:rFonts w:ascii="Calibri" w:hAnsi="Calibri"/>
          <w:sz w:val="22"/>
          <w:szCs w:val="22"/>
        </w:rPr>
        <w:t xml:space="preserve"> en materia contable, de auditoría, economía, administración, y demás áreas relacionadas con las ciencias económicas.</w:t>
      </w:r>
    </w:p>
    <w:p w14:paraId="350B12F3" w14:textId="77777777" w:rsidR="004B112B" w:rsidRDefault="00000000">
      <w:pPr>
        <w:pStyle w:val="Ttulo3"/>
        <w:rPr>
          <w:rFonts w:hint="eastAsia"/>
        </w:rPr>
      </w:pPr>
      <w:r>
        <w:rPr>
          <w:rStyle w:val="Textoennegrita"/>
          <w:rFonts w:ascii="Calibri" w:hAnsi="Calibri"/>
          <w:sz w:val="22"/>
          <w:szCs w:val="22"/>
          <w:u w:val="single"/>
        </w:rPr>
        <w:t>Funciones del CECyT dentro de la FACPCE:</w:t>
      </w:r>
    </w:p>
    <w:p w14:paraId="04E2BADD" w14:textId="77777777" w:rsidR="004B112B" w:rsidRDefault="00000000">
      <w:pPr>
        <w:pStyle w:val="Textoindependiente"/>
        <w:numPr>
          <w:ilvl w:val="0"/>
          <w:numId w:val="2"/>
        </w:numPr>
        <w:tabs>
          <w:tab w:val="clear" w:pos="709"/>
          <w:tab w:val="left" w:pos="0"/>
        </w:tabs>
        <w:ind w:left="227"/>
        <w:rPr>
          <w:rFonts w:hint="eastAsia"/>
        </w:rPr>
      </w:pPr>
      <w:r>
        <w:rPr>
          <w:rStyle w:val="Textoennegrita"/>
          <w:rFonts w:ascii="Calibri" w:hAnsi="Calibri"/>
          <w:b w:val="0"/>
          <w:bCs w:val="0"/>
          <w:sz w:val="22"/>
          <w:szCs w:val="22"/>
        </w:rPr>
        <w:t>Investigar temas contables, económicos y financieros</w:t>
      </w:r>
      <w:r>
        <w:rPr>
          <w:rFonts w:ascii="Calibri" w:hAnsi="Calibri"/>
          <w:sz w:val="22"/>
          <w:szCs w:val="22"/>
        </w:rPr>
        <w:t xml:space="preserve"> de interés profesional.</w:t>
      </w:r>
    </w:p>
    <w:p w14:paraId="092767D0" w14:textId="77777777" w:rsidR="004B112B" w:rsidRDefault="00000000">
      <w:pPr>
        <w:pStyle w:val="Textoindependiente"/>
        <w:numPr>
          <w:ilvl w:val="0"/>
          <w:numId w:val="2"/>
        </w:numPr>
        <w:tabs>
          <w:tab w:val="clear" w:pos="709"/>
          <w:tab w:val="left" w:pos="0"/>
        </w:tabs>
        <w:ind w:left="227"/>
        <w:rPr>
          <w:rFonts w:hint="eastAsia"/>
        </w:rPr>
      </w:pPr>
      <w:r>
        <w:rPr>
          <w:rStyle w:val="Textoennegrita"/>
          <w:rFonts w:ascii="Calibri" w:hAnsi="Calibri"/>
          <w:b w:val="0"/>
          <w:bCs w:val="0"/>
          <w:sz w:val="22"/>
          <w:szCs w:val="22"/>
        </w:rPr>
        <w:t>Elaborar proyectos de normas técnicas</w:t>
      </w:r>
      <w:r>
        <w:rPr>
          <w:rFonts w:ascii="Calibri" w:hAnsi="Calibri"/>
          <w:sz w:val="22"/>
          <w:szCs w:val="22"/>
        </w:rPr>
        <w:t xml:space="preserve">, que luego la FACPCE evalúa y aprueba como </w:t>
      </w:r>
      <w:r>
        <w:rPr>
          <w:rStyle w:val="Textoennegrita"/>
          <w:rFonts w:ascii="Calibri" w:hAnsi="Calibri"/>
          <w:b w:val="0"/>
          <w:bCs w:val="0"/>
          <w:sz w:val="22"/>
          <w:szCs w:val="22"/>
        </w:rPr>
        <w:t>Resoluciones Técnicas (RT)</w:t>
      </w:r>
      <w:r>
        <w:rPr>
          <w:rFonts w:ascii="Calibri" w:hAnsi="Calibri"/>
          <w:sz w:val="22"/>
          <w:szCs w:val="22"/>
        </w:rPr>
        <w:t>.</w:t>
      </w:r>
    </w:p>
    <w:p w14:paraId="47C63A87" w14:textId="77777777" w:rsidR="004B112B" w:rsidRDefault="00000000">
      <w:pPr>
        <w:pStyle w:val="Textoindependiente"/>
        <w:numPr>
          <w:ilvl w:val="0"/>
          <w:numId w:val="2"/>
        </w:numPr>
        <w:tabs>
          <w:tab w:val="clear" w:pos="709"/>
          <w:tab w:val="left" w:pos="0"/>
        </w:tabs>
        <w:ind w:left="227"/>
        <w:rPr>
          <w:rFonts w:hint="eastAsia"/>
        </w:rPr>
      </w:pPr>
      <w:r>
        <w:rPr>
          <w:rStyle w:val="Textoennegrita"/>
          <w:rFonts w:ascii="Calibri" w:hAnsi="Calibri"/>
          <w:b w:val="0"/>
          <w:bCs w:val="0"/>
          <w:sz w:val="22"/>
          <w:szCs w:val="22"/>
        </w:rPr>
        <w:t>Emitir informes, documentos de estudio y guías</w:t>
      </w:r>
      <w:r>
        <w:rPr>
          <w:rFonts w:ascii="Calibri" w:hAnsi="Calibri"/>
          <w:sz w:val="22"/>
          <w:szCs w:val="22"/>
        </w:rPr>
        <w:t xml:space="preserve"> que orientan la práctica profesional.</w:t>
      </w:r>
    </w:p>
    <w:p w14:paraId="1AC02E14" w14:textId="77777777" w:rsidR="004B112B" w:rsidRDefault="00000000">
      <w:pPr>
        <w:pStyle w:val="Textoindependiente"/>
        <w:numPr>
          <w:ilvl w:val="0"/>
          <w:numId w:val="2"/>
        </w:numPr>
        <w:tabs>
          <w:tab w:val="clear" w:pos="709"/>
          <w:tab w:val="left" w:pos="0"/>
        </w:tabs>
        <w:ind w:left="227"/>
        <w:rPr>
          <w:rFonts w:hint="eastAsia"/>
        </w:rPr>
      </w:pPr>
      <w:r>
        <w:rPr>
          <w:rStyle w:val="Textoennegrita"/>
          <w:rFonts w:ascii="Calibri" w:hAnsi="Calibri"/>
          <w:b w:val="0"/>
          <w:bCs w:val="0"/>
          <w:sz w:val="22"/>
          <w:szCs w:val="22"/>
        </w:rPr>
        <w:t>Asesorar al Consejo Directivo de la FACPCE</w:t>
      </w:r>
      <w:r>
        <w:rPr>
          <w:rFonts w:ascii="Calibri" w:hAnsi="Calibri"/>
          <w:sz w:val="22"/>
          <w:szCs w:val="22"/>
        </w:rPr>
        <w:t xml:space="preserve"> en temas científicos y técnicos.</w:t>
      </w:r>
    </w:p>
    <w:p w14:paraId="59B4715B" w14:textId="77777777" w:rsidR="004B112B" w:rsidRDefault="00000000">
      <w:pPr>
        <w:pStyle w:val="Textoindependiente"/>
        <w:numPr>
          <w:ilvl w:val="0"/>
          <w:numId w:val="2"/>
        </w:numPr>
        <w:tabs>
          <w:tab w:val="clear" w:pos="709"/>
          <w:tab w:val="left" w:pos="0"/>
        </w:tabs>
        <w:ind w:left="227"/>
        <w:rPr>
          <w:rFonts w:hint="eastAsia"/>
        </w:rPr>
      </w:pPr>
      <w:r>
        <w:rPr>
          <w:rStyle w:val="Textoennegrita"/>
          <w:rFonts w:ascii="Calibri" w:hAnsi="Calibri"/>
          <w:b w:val="0"/>
          <w:bCs w:val="0"/>
          <w:sz w:val="22"/>
          <w:szCs w:val="22"/>
        </w:rPr>
        <w:t>Promover la actualización profesional</w:t>
      </w:r>
      <w:r>
        <w:rPr>
          <w:rFonts w:ascii="Calibri" w:hAnsi="Calibri"/>
          <w:sz w:val="22"/>
          <w:szCs w:val="22"/>
        </w:rPr>
        <w:t>, difundiendo los avances normativos y académicos.</w:t>
      </w:r>
    </w:p>
    <w:p w14:paraId="7A6DA3D2" w14:textId="77777777" w:rsidR="004B112B" w:rsidRDefault="00000000">
      <w:pPr>
        <w:rPr>
          <w:rFonts w:ascii="Calibri" w:hAnsi="Calibri"/>
          <w:b/>
          <w:bCs/>
          <w:sz w:val="22"/>
          <w:szCs w:val="22"/>
        </w:rPr>
      </w:pPr>
      <w:r>
        <w:rPr>
          <w:rFonts w:ascii="Calibri" w:hAnsi="Calibri"/>
          <w:b/>
          <w:bCs/>
          <w:sz w:val="22"/>
          <w:szCs w:val="22"/>
        </w:rPr>
        <w:t>6. Explicar el proceso de emisión de las normas contables en nuestro país</w:t>
      </w:r>
    </w:p>
    <w:p w14:paraId="5B32A17A" w14:textId="77777777" w:rsidR="004B112B" w:rsidRDefault="00000000">
      <w:pPr>
        <w:pStyle w:val="Textoindependiente"/>
        <w:rPr>
          <w:rFonts w:hint="eastAsia"/>
        </w:rPr>
      </w:pPr>
      <w:r>
        <w:rPr>
          <w:rFonts w:ascii="Calibri" w:hAnsi="Calibri"/>
          <w:sz w:val="22"/>
          <w:szCs w:val="22"/>
        </w:rPr>
        <w:t xml:space="preserve">El proceso de emisión de las </w:t>
      </w:r>
      <w:r>
        <w:rPr>
          <w:rStyle w:val="Textoennegrita"/>
          <w:rFonts w:ascii="Calibri" w:hAnsi="Calibri"/>
          <w:b w:val="0"/>
          <w:bCs w:val="0"/>
          <w:sz w:val="22"/>
          <w:szCs w:val="22"/>
        </w:rPr>
        <w:t>normas contables profesionales en la Argentina</w:t>
      </w:r>
      <w:r>
        <w:rPr>
          <w:rFonts w:ascii="Calibri" w:hAnsi="Calibri"/>
          <w:sz w:val="22"/>
          <w:szCs w:val="22"/>
        </w:rPr>
        <w:t xml:space="preserve"> se desarrolla a través de un </w:t>
      </w:r>
      <w:r>
        <w:rPr>
          <w:rStyle w:val="Textoennegrita"/>
          <w:rFonts w:ascii="Calibri" w:hAnsi="Calibri"/>
          <w:b w:val="0"/>
          <w:bCs w:val="0"/>
          <w:sz w:val="22"/>
          <w:szCs w:val="22"/>
        </w:rPr>
        <w:t>procedimiento técnico y participativo</w:t>
      </w:r>
      <w:r>
        <w:rPr>
          <w:rFonts w:ascii="Calibri" w:hAnsi="Calibri"/>
          <w:sz w:val="22"/>
          <w:szCs w:val="22"/>
        </w:rPr>
        <w:t xml:space="preserve">, encabezado por la </w:t>
      </w:r>
      <w:r>
        <w:rPr>
          <w:rStyle w:val="Textoennegrita"/>
          <w:rFonts w:ascii="Calibri" w:hAnsi="Calibri"/>
          <w:b w:val="0"/>
          <w:bCs w:val="0"/>
          <w:sz w:val="22"/>
          <w:szCs w:val="22"/>
        </w:rPr>
        <w:t>F.A.C.P.C.E. (Federación Argentina de Consejos Profesionales de Ciencias Económicas)</w:t>
      </w:r>
      <w:r>
        <w:rPr>
          <w:rFonts w:ascii="Calibri" w:hAnsi="Calibri"/>
          <w:sz w:val="22"/>
          <w:szCs w:val="22"/>
        </w:rPr>
        <w:t xml:space="preserve"> y su órgano técnico, el </w:t>
      </w:r>
      <w:proofErr w:type="spellStart"/>
      <w:r>
        <w:rPr>
          <w:rStyle w:val="Textoennegrita"/>
          <w:rFonts w:ascii="Calibri" w:hAnsi="Calibri"/>
          <w:b w:val="0"/>
          <w:bCs w:val="0"/>
          <w:sz w:val="22"/>
          <w:szCs w:val="22"/>
        </w:rPr>
        <w:t>C.</w:t>
      </w:r>
      <w:proofErr w:type="gramStart"/>
      <w:r>
        <w:rPr>
          <w:rStyle w:val="Textoennegrita"/>
          <w:rFonts w:ascii="Calibri" w:hAnsi="Calibri"/>
          <w:b w:val="0"/>
          <w:bCs w:val="0"/>
          <w:sz w:val="22"/>
          <w:szCs w:val="22"/>
        </w:rPr>
        <w:t>E.CyT</w:t>
      </w:r>
      <w:proofErr w:type="spellEnd"/>
      <w:proofErr w:type="gramEnd"/>
      <w:r>
        <w:rPr>
          <w:rStyle w:val="Textoennegrita"/>
          <w:rFonts w:ascii="Calibri" w:hAnsi="Calibri"/>
          <w:b w:val="0"/>
          <w:bCs w:val="0"/>
          <w:sz w:val="22"/>
          <w:szCs w:val="22"/>
        </w:rPr>
        <w:t xml:space="preserve"> (Centro de Estudios Científicos y Técnicos)</w:t>
      </w:r>
      <w:r>
        <w:rPr>
          <w:rFonts w:ascii="Calibri" w:hAnsi="Calibri"/>
          <w:sz w:val="22"/>
          <w:szCs w:val="22"/>
        </w:rPr>
        <w:t>.</w:t>
      </w:r>
    </w:p>
    <w:p w14:paraId="4069BEA1" w14:textId="77777777" w:rsidR="004B112B" w:rsidRDefault="00000000">
      <w:pPr>
        <w:pStyle w:val="Ttulo3"/>
        <w:rPr>
          <w:rFonts w:hint="eastAsia"/>
        </w:rPr>
      </w:pPr>
      <w:r>
        <w:rPr>
          <w:rStyle w:val="Textoennegrita"/>
          <w:rFonts w:ascii="Calibri" w:hAnsi="Calibri"/>
          <w:sz w:val="22"/>
          <w:szCs w:val="22"/>
          <w:u w:val="single"/>
        </w:rPr>
        <w:t>Etapas del proceso:</w:t>
      </w:r>
    </w:p>
    <w:p w14:paraId="33C30340" w14:textId="77777777" w:rsidR="004B112B" w:rsidRDefault="00000000">
      <w:pPr>
        <w:pStyle w:val="Textoindependiente"/>
        <w:numPr>
          <w:ilvl w:val="0"/>
          <w:numId w:val="3"/>
        </w:numPr>
        <w:tabs>
          <w:tab w:val="clear" w:pos="709"/>
          <w:tab w:val="left" w:pos="0"/>
        </w:tabs>
        <w:ind w:left="170"/>
        <w:rPr>
          <w:rFonts w:hint="eastAsia"/>
        </w:rPr>
      </w:pPr>
      <w:r>
        <w:rPr>
          <w:rStyle w:val="Textoennegrita"/>
          <w:rFonts w:ascii="Calibri" w:hAnsi="Calibri"/>
          <w:b w:val="0"/>
          <w:bCs w:val="0"/>
          <w:i/>
          <w:iCs/>
          <w:sz w:val="22"/>
          <w:szCs w:val="22"/>
        </w:rPr>
        <w:t>Identificación de la necesidad:</w:t>
      </w:r>
    </w:p>
    <w:p w14:paraId="5B608324" w14:textId="77777777" w:rsidR="004B112B" w:rsidRDefault="00000000">
      <w:pPr>
        <w:pStyle w:val="Textoindependiente"/>
        <w:numPr>
          <w:ilvl w:val="1"/>
          <w:numId w:val="3"/>
        </w:numPr>
        <w:tabs>
          <w:tab w:val="left" w:pos="0"/>
        </w:tabs>
        <w:rPr>
          <w:rFonts w:hint="eastAsia"/>
        </w:rPr>
      </w:pPr>
      <w:r>
        <w:rPr>
          <w:rFonts w:ascii="Calibri" w:hAnsi="Calibri"/>
          <w:sz w:val="22"/>
          <w:szCs w:val="22"/>
        </w:rPr>
        <w:t xml:space="preserve">El </w:t>
      </w:r>
      <w:r>
        <w:rPr>
          <w:rStyle w:val="Textoennegrita"/>
          <w:rFonts w:ascii="Calibri" w:hAnsi="Calibri"/>
          <w:b w:val="0"/>
          <w:bCs w:val="0"/>
          <w:sz w:val="22"/>
          <w:szCs w:val="22"/>
        </w:rPr>
        <w:t>CECyT</w:t>
      </w:r>
      <w:r>
        <w:rPr>
          <w:rFonts w:ascii="Calibri" w:hAnsi="Calibri"/>
          <w:sz w:val="22"/>
          <w:szCs w:val="22"/>
        </w:rPr>
        <w:t xml:space="preserve"> detecta temas o problemáticas contables que requieren una norma nueva o la actualización de una existente.</w:t>
      </w:r>
    </w:p>
    <w:p w14:paraId="2093F491" w14:textId="77777777" w:rsidR="004B112B" w:rsidRDefault="00000000">
      <w:pPr>
        <w:pStyle w:val="Textoindependiente"/>
        <w:numPr>
          <w:ilvl w:val="1"/>
          <w:numId w:val="3"/>
        </w:numPr>
        <w:tabs>
          <w:tab w:val="left" w:pos="0"/>
        </w:tabs>
        <w:rPr>
          <w:rFonts w:ascii="Calibri" w:hAnsi="Calibri"/>
          <w:sz w:val="22"/>
          <w:szCs w:val="22"/>
        </w:rPr>
      </w:pPr>
      <w:r>
        <w:rPr>
          <w:rFonts w:ascii="Calibri" w:hAnsi="Calibri"/>
          <w:sz w:val="22"/>
          <w:szCs w:val="22"/>
        </w:rPr>
        <w:t>Puede surgir por cambios económicos, legales o internacionales.</w:t>
      </w:r>
    </w:p>
    <w:p w14:paraId="671A1526" w14:textId="77777777" w:rsidR="004B112B" w:rsidRDefault="00000000">
      <w:pPr>
        <w:pStyle w:val="Textoindependiente"/>
        <w:numPr>
          <w:ilvl w:val="0"/>
          <w:numId w:val="3"/>
        </w:numPr>
        <w:tabs>
          <w:tab w:val="clear" w:pos="709"/>
          <w:tab w:val="left" w:pos="0"/>
        </w:tabs>
        <w:ind w:left="170"/>
        <w:rPr>
          <w:rFonts w:hint="eastAsia"/>
        </w:rPr>
      </w:pPr>
      <w:r>
        <w:rPr>
          <w:rStyle w:val="Textoennegrita"/>
          <w:rFonts w:ascii="Calibri" w:hAnsi="Calibri"/>
          <w:b w:val="0"/>
          <w:bCs w:val="0"/>
          <w:i/>
          <w:iCs/>
          <w:sz w:val="22"/>
          <w:szCs w:val="22"/>
        </w:rPr>
        <w:t>Investigación y elaboración del proyecto:</w:t>
      </w:r>
    </w:p>
    <w:p w14:paraId="6EAA2EAA" w14:textId="77777777" w:rsidR="004B112B" w:rsidRDefault="00000000">
      <w:pPr>
        <w:pStyle w:val="Textoindependiente"/>
        <w:numPr>
          <w:ilvl w:val="1"/>
          <w:numId w:val="3"/>
        </w:numPr>
        <w:tabs>
          <w:tab w:val="left" w:pos="0"/>
        </w:tabs>
        <w:rPr>
          <w:rFonts w:hint="eastAsia"/>
        </w:rPr>
      </w:pPr>
      <w:r>
        <w:rPr>
          <w:rFonts w:ascii="Calibri" w:hAnsi="Calibri"/>
          <w:sz w:val="22"/>
          <w:szCs w:val="22"/>
        </w:rPr>
        <w:t xml:space="preserve">El </w:t>
      </w:r>
      <w:r>
        <w:rPr>
          <w:rStyle w:val="Textoennegrita"/>
          <w:rFonts w:ascii="Calibri" w:hAnsi="Calibri"/>
          <w:b w:val="0"/>
          <w:bCs w:val="0"/>
          <w:sz w:val="22"/>
          <w:szCs w:val="22"/>
        </w:rPr>
        <w:t>CECyT</w:t>
      </w:r>
      <w:r>
        <w:rPr>
          <w:rFonts w:ascii="Calibri" w:hAnsi="Calibri"/>
          <w:sz w:val="22"/>
          <w:szCs w:val="22"/>
        </w:rPr>
        <w:t xml:space="preserve"> realiza estudios técnicos y comparaciones con normas internacionales (como las NIIF).</w:t>
      </w:r>
    </w:p>
    <w:p w14:paraId="11CD2420" w14:textId="77777777" w:rsidR="004B112B" w:rsidRDefault="00000000">
      <w:pPr>
        <w:pStyle w:val="Textoindependiente"/>
        <w:numPr>
          <w:ilvl w:val="1"/>
          <w:numId w:val="3"/>
        </w:numPr>
        <w:tabs>
          <w:tab w:val="left" w:pos="0"/>
        </w:tabs>
        <w:rPr>
          <w:rFonts w:hint="eastAsia"/>
        </w:rPr>
      </w:pPr>
      <w:r>
        <w:rPr>
          <w:rFonts w:ascii="Calibri" w:hAnsi="Calibri"/>
          <w:sz w:val="22"/>
          <w:szCs w:val="22"/>
        </w:rPr>
        <w:t xml:space="preserve">Luego redacta un </w:t>
      </w:r>
      <w:r>
        <w:rPr>
          <w:rStyle w:val="Textoennegrita"/>
          <w:rFonts w:ascii="Calibri" w:hAnsi="Calibri"/>
          <w:b w:val="0"/>
          <w:bCs w:val="0"/>
          <w:sz w:val="22"/>
          <w:szCs w:val="22"/>
        </w:rPr>
        <w:t>borrador de proyecto de Resolución Técnica (RT)</w:t>
      </w:r>
      <w:r>
        <w:rPr>
          <w:rFonts w:ascii="Calibri" w:hAnsi="Calibri"/>
          <w:sz w:val="22"/>
          <w:szCs w:val="22"/>
        </w:rPr>
        <w:t>.</w:t>
      </w:r>
    </w:p>
    <w:p w14:paraId="05EF968D" w14:textId="77777777" w:rsidR="004B112B" w:rsidRDefault="00000000">
      <w:pPr>
        <w:pStyle w:val="Textoindependiente"/>
        <w:numPr>
          <w:ilvl w:val="0"/>
          <w:numId w:val="3"/>
        </w:numPr>
        <w:tabs>
          <w:tab w:val="clear" w:pos="709"/>
          <w:tab w:val="left" w:pos="165"/>
        </w:tabs>
        <w:ind w:left="227"/>
        <w:rPr>
          <w:rFonts w:hint="eastAsia"/>
        </w:rPr>
      </w:pPr>
      <w:r>
        <w:rPr>
          <w:rStyle w:val="Textoennegrita"/>
          <w:rFonts w:ascii="Calibri" w:hAnsi="Calibri"/>
          <w:b w:val="0"/>
          <w:bCs w:val="0"/>
          <w:i/>
          <w:iCs/>
          <w:sz w:val="22"/>
          <w:szCs w:val="22"/>
        </w:rPr>
        <w:t>Consulta y análisis público:</w:t>
      </w:r>
    </w:p>
    <w:p w14:paraId="536F582B" w14:textId="77777777" w:rsidR="004B112B" w:rsidRDefault="00000000">
      <w:pPr>
        <w:pStyle w:val="Textoindependiente"/>
        <w:numPr>
          <w:ilvl w:val="1"/>
          <w:numId w:val="3"/>
        </w:numPr>
        <w:tabs>
          <w:tab w:val="left" w:pos="0"/>
        </w:tabs>
        <w:rPr>
          <w:rFonts w:hint="eastAsia"/>
        </w:rPr>
      </w:pPr>
      <w:r>
        <w:rPr>
          <w:rFonts w:ascii="Calibri" w:hAnsi="Calibri"/>
          <w:sz w:val="22"/>
          <w:szCs w:val="22"/>
        </w:rPr>
        <w:t xml:space="preserve">El proyecto se somete a </w:t>
      </w:r>
      <w:r>
        <w:rPr>
          <w:rStyle w:val="Textoennegrita"/>
          <w:rFonts w:ascii="Calibri" w:hAnsi="Calibri"/>
          <w:b w:val="0"/>
          <w:bCs w:val="0"/>
          <w:sz w:val="22"/>
          <w:szCs w:val="22"/>
        </w:rPr>
        <w:t>consulta entre los Consejos Profesionales Provinciales</w:t>
      </w:r>
      <w:r>
        <w:rPr>
          <w:rFonts w:ascii="Calibri" w:hAnsi="Calibri"/>
          <w:sz w:val="22"/>
          <w:szCs w:val="22"/>
        </w:rPr>
        <w:t>, universidades y otros organismos interesados.</w:t>
      </w:r>
    </w:p>
    <w:p w14:paraId="71964541" w14:textId="77777777" w:rsidR="004B112B" w:rsidRDefault="00000000">
      <w:pPr>
        <w:pStyle w:val="Textoindependiente"/>
        <w:numPr>
          <w:ilvl w:val="1"/>
          <w:numId w:val="3"/>
        </w:numPr>
        <w:tabs>
          <w:tab w:val="left" w:pos="0"/>
        </w:tabs>
        <w:rPr>
          <w:rFonts w:ascii="Calibri" w:hAnsi="Calibri"/>
          <w:sz w:val="22"/>
          <w:szCs w:val="22"/>
        </w:rPr>
      </w:pPr>
      <w:r>
        <w:rPr>
          <w:rFonts w:ascii="Calibri" w:hAnsi="Calibri"/>
          <w:sz w:val="22"/>
          <w:szCs w:val="22"/>
        </w:rPr>
        <w:lastRenderedPageBreak/>
        <w:t>Se reciben observaciones y sugerencias para mejorar el texto.</w:t>
      </w:r>
    </w:p>
    <w:p w14:paraId="2CEBD470" w14:textId="77777777" w:rsidR="004B112B" w:rsidRDefault="00000000">
      <w:pPr>
        <w:pStyle w:val="Textoindependiente"/>
        <w:numPr>
          <w:ilvl w:val="0"/>
          <w:numId w:val="3"/>
        </w:numPr>
        <w:tabs>
          <w:tab w:val="clear" w:pos="709"/>
          <w:tab w:val="left" w:pos="0"/>
        </w:tabs>
        <w:ind w:left="170"/>
        <w:rPr>
          <w:rFonts w:hint="eastAsia"/>
        </w:rPr>
      </w:pPr>
      <w:r>
        <w:rPr>
          <w:rStyle w:val="Textoennegrita"/>
          <w:rFonts w:ascii="Calibri" w:hAnsi="Calibri"/>
          <w:b w:val="0"/>
          <w:bCs w:val="0"/>
          <w:i/>
          <w:iCs/>
          <w:sz w:val="22"/>
          <w:szCs w:val="22"/>
        </w:rPr>
        <w:t>Aprobación por la FACPCE:</w:t>
      </w:r>
    </w:p>
    <w:p w14:paraId="6E41900C" w14:textId="77777777" w:rsidR="004B112B" w:rsidRDefault="00000000">
      <w:pPr>
        <w:pStyle w:val="Textoindependiente"/>
        <w:numPr>
          <w:ilvl w:val="1"/>
          <w:numId w:val="3"/>
        </w:numPr>
        <w:tabs>
          <w:tab w:val="left" w:pos="0"/>
        </w:tabs>
        <w:rPr>
          <w:rFonts w:hint="eastAsia"/>
        </w:rPr>
      </w:pPr>
      <w:r>
        <w:rPr>
          <w:rFonts w:ascii="Calibri" w:hAnsi="Calibri"/>
          <w:sz w:val="22"/>
          <w:szCs w:val="22"/>
        </w:rPr>
        <w:t xml:space="preserve">Una vez analizados los aportes, el </w:t>
      </w:r>
      <w:r>
        <w:rPr>
          <w:rStyle w:val="Textoennegrita"/>
          <w:rFonts w:ascii="Calibri" w:hAnsi="Calibri"/>
          <w:b w:val="0"/>
          <w:bCs w:val="0"/>
          <w:sz w:val="22"/>
          <w:szCs w:val="22"/>
        </w:rPr>
        <w:t>Consejo Directivo de la FACPCE</w:t>
      </w:r>
      <w:r>
        <w:rPr>
          <w:rFonts w:ascii="Calibri" w:hAnsi="Calibri"/>
          <w:sz w:val="22"/>
          <w:szCs w:val="22"/>
        </w:rPr>
        <w:t xml:space="preserve"> aprueba la versión final de la </w:t>
      </w:r>
      <w:r>
        <w:rPr>
          <w:rStyle w:val="Textoennegrita"/>
          <w:rFonts w:ascii="Calibri" w:hAnsi="Calibri"/>
          <w:b w:val="0"/>
          <w:bCs w:val="0"/>
          <w:sz w:val="22"/>
          <w:szCs w:val="22"/>
        </w:rPr>
        <w:t>Resolución Técnica</w:t>
      </w:r>
      <w:r>
        <w:rPr>
          <w:rFonts w:ascii="Calibri" w:hAnsi="Calibri"/>
          <w:sz w:val="22"/>
          <w:szCs w:val="22"/>
        </w:rPr>
        <w:t>.</w:t>
      </w:r>
    </w:p>
    <w:p w14:paraId="64400183" w14:textId="77777777" w:rsidR="004B112B" w:rsidRDefault="00000000">
      <w:pPr>
        <w:pStyle w:val="Textoindependiente"/>
        <w:numPr>
          <w:ilvl w:val="1"/>
          <w:numId w:val="3"/>
        </w:numPr>
        <w:tabs>
          <w:tab w:val="left" w:pos="0"/>
        </w:tabs>
        <w:rPr>
          <w:rFonts w:hint="eastAsia"/>
        </w:rPr>
      </w:pPr>
      <w:r>
        <w:rPr>
          <w:rFonts w:ascii="Calibri" w:hAnsi="Calibri"/>
          <w:sz w:val="22"/>
          <w:szCs w:val="22"/>
        </w:rPr>
        <w:t xml:space="preserve">Esta se convierte en una </w:t>
      </w:r>
      <w:r>
        <w:rPr>
          <w:rStyle w:val="Textoennegrita"/>
          <w:rFonts w:ascii="Calibri" w:hAnsi="Calibri"/>
          <w:b w:val="0"/>
          <w:bCs w:val="0"/>
          <w:sz w:val="22"/>
          <w:szCs w:val="22"/>
        </w:rPr>
        <w:t>norma contable profesional nacional.</w:t>
      </w:r>
    </w:p>
    <w:p w14:paraId="0686E0D3" w14:textId="77777777" w:rsidR="004B112B" w:rsidRDefault="00000000">
      <w:pPr>
        <w:pStyle w:val="Textoindependiente"/>
        <w:numPr>
          <w:ilvl w:val="0"/>
          <w:numId w:val="3"/>
        </w:numPr>
        <w:tabs>
          <w:tab w:val="clear" w:pos="709"/>
          <w:tab w:val="left" w:pos="0"/>
        </w:tabs>
        <w:ind w:left="170"/>
        <w:rPr>
          <w:rFonts w:hint="eastAsia"/>
        </w:rPr>
      </w:pPr>
      <w:r>
        <w:rPr>
          <w:rStyle w:val="Textoennegrita"/>
          <w:rFonts w:ascii="Calibri" w:hAnsi="Calibri"/>
          <w:b w:val="0"/>
          <w:bCs w:val="0"/>
          <w:i/>
          <w:iCs/>
          <w:sz w:val="22"/>
          <w:szCs w:val="22"/>
        </w:rPr>
        <w:t>Adopción por los Consejos Profesionales Provinciales:</w:t>
      </w:r>
    </w:p>
    <w:p w14:paraId="7F6BB725" w14:textId="77777777" w:rsidR="004B112B" w:rsidRDefault="00000000">
      <w:pPr>
        <w:pStyle w:val="Textoindependiente"/>
        <w:numPr>
          <w:ilvl w:val="1"/>
          <w:numId w:val="3"/>
        </w:numPr>
        <w:tabs>
          <w:tab w:val="left" w:pos="0"/>
        </w:tabs>
        <w:rPr>
          <w:rFonts w:hint="eastAsia"/>
        </w:rPr>
      </w:pPr>
      <w:r>
        <w:rPr>
          <w:rFonts w:ascii="Calibri" w:hAnsi="Calibri"/>
          <w:sz w:val="22"/>
          <w:szCs w:val="22"/>
        </w:rPr>
        <w:t xml:space="preserve">Cada </w:t>
      </w:r>
      <w:r>
        <w:rPr>
          <w:rStyle w:val="Textoennegrita"/>
          <w:rFonts w:ascii="Calibri" w:hAnsi="Calibri"/>
          <w:b w:val="0"/>
          <w:bCs w:val="0"/>
          <w:sz w:val="22"/>
          <w:szCs w:val="22"/>
        </w:rPr>
        <w:t>Consejo Profesional de Ciencias Económicas provincial</w:t>
      </w:r>
      <w:r>
        <w:rPr>
          <w:rFonts w:ascii="Calibri" w:hAnsi="Calibri"/>
          <w:sz w:val="22"/>
          <w:szCs w:val="22"/>
        </w:rPr>
        <w:t xml:space="preserve"> adopta la Resolución Técnica mediante su propio acto administrativo, dándole </w:t>
      </w:r>
      <w:r>
        <w:rPr>
          <w:rStyle w:val="Textoennegrita"/>
          <w:rFonts w:ascii="Calibri" w:hAnsi="Calibri"/>
          <w:b w:val="0"/>
          <w:bCs w:val="0"/>
          <w:sz w:val="22"/>
          <w:szCs w:val="22"/>
        </w:rPr>
        <w:t>vigencia obligatoria</w:t>
      </w:r>
      <w:r>
        <w:rPr>
          <w:rFonts w:ascii="Calibri" w:hAnsi="Calibri"/>
          <w:sz w:val="22"/>
          <w:szCs w:val="22"/>
        </w:rPr>
        <w:t xml:space="preserve"> en su jurisdicción.</w:t>
      </w:r>
    </w:p>
    <w:p w14:paraId="625E04FE" w14:textId="77777777" w:rsidR="004B112B" w:rsidRDefault="00000000">
      <w:pPr>
        <w:rPr>
          <w:rFonts w:ascii="Calibri" w:hAnsi="Calibri"/>
          <w:b/>
          <w:bCs/>
          <w:sz w:val="22"/>
          <w:szCs w:val="22"/>
        </w:rPr>
      </w:pPr>
      <w:r>
        <w:rPr>
          <w:rFonts w:ascii="Calibri" w:hAnsi="Calibri"/>
          <w:b/>
          <w:bCs/>
          <w:sz w:val="22"/>
          <w:szCs w:val="22"/>
        </w:rPr>
        <w:t>7. Investigar de que se tratan y clasificar las siguientes normas en legales o profesionales</w:t>
      </w:r>
    </w:p>
    <w:p w14:paraId="4BF27C88" w14:textId="77777777" w:rsidR="004B112B" w:rsidRDefault="00000000">
      <w:pPr>
        <w:rPr>
          <w:rFonts w:ascii="Calibri" w:hAnsi="Calibri"/>
          <w:sz w:val="22"/>
          <w:szCs w:val="22"/>
        </w:rPr>
      </w:pPr>
      <w:r>
        <w:rPr>
          <w:rFonts w:ascii="Calibri" w:hAnsi="Calibri"/>
          <w:sz w:val="22"/>
          <w:szCs w:val="22"/>
        </w:rPr>
        <w:t>a) NIFF 10</w:t>
      </w:r>
    </w:p>
    <w:p w14:paraId="30A05BB4" w14:textId="77777777" w:rsidR="004B112B" w:rsidRDefault="00000000">
      <w:pPr>
        <w:rPr>
          <w:rFonts w:ascii="Calibri" w:hAnsi="Calibri"/>
          <w:sz w:val="22"/>
          <w:szCs w:val="22"/>
        </w:rPr>
      </w:pPr>
      <w:r>
        <w:rPr>
          <w:rFonts w:ascii="Calibri" w:hAnsi="Calibri"/>
          <w:sz w:val="22"/>
          <w:szCs w:val="22"/>
        </w:rPr>
        <w:t>b) Circular BCRA sobre la regulación monetaria 1-67</w:t>
      </w:r>
    </w:p>
    <w:p w14:paraId="12EACA41" w14:textId="77777777" w:rsidR="004B112B" w:rsidRDefault="00000000">
      <w:pPr>
        <w:rPr>
          <w:rFonts w:ascii="Calibri" w:hAnsi="Calibri"/>
          <w:sz w:val="22"/>
          <w:szCs w:val="22"/>
        </w:rPr>
      </w:pPr>
      <w:r>
        <w:rPr>
          <w:rFonts w:ascii="Calibri" w:hAnsi="Calibri"/>
          <w:sz w:val="22"/>
          <w:szCs w:val="22"/>
        </w:rPr>
        <w:t>c) Ley de Sociedades 26994</w:t>
      </w:r>
    </w:p>
    <w:p w14:paraId="545DEC7D" w14:textId="77777777" w:rsidR="004B112B" w:rsidRDefault="00000000">
      <w:pPr>
        <w:rPr>
          <w:rFonts w:ascii="Calibri" w:hAnsi="Calibri"/>
          <w:sz w:val="22"/>
          <w:szCs w:val="22"/>
        </w:rPr>
      </w:pPr>
      <w:r>
        <w:rPr>
          <w:rFonts w:ascii="Calibri" w:hAnsi="Calibri"/>
          <w:sz w:val="22"/>
          <w:szCs w:val="22"/>
        </w:rPr>
        <w:t>d) Resolución 420/2011 FACPCE sobre lavado de activos</w:t>
      </w:r>
    </w:p>
    <w:p w14:paraId="32465F30" w14:textId="77777777" w:rsidR="004B112B" w:rsidRDefault="00000000">
      <w:pPr>
        <w:rPr>
          <w:rFonts w:ascii="Calibri" w:hAnsi="Calibri"/>
          <w:sz w:val="22"/>
          <w:szCs w:val="22"/>
        </w:rPr>
      </w:pPr>
      <w:r>
        <w:rPr>
          <w:rFonts w:ascii="Calibri" w:hAnsi="Calibri"/>
          <w:sz w:val="22"/>
          <w:szCs w:val="22"/>
        </w:rPr>
        <w:t>e) Decreto 316/95 del P.E.N</w:t>
      </w:r>
    </w:p>
    <w:p w14:paraId="50BE7DDE" w14:textId="77777777" w:rsidR="004B112B" w:rsidRDefault="00000000">
      <w:pPr>
        <w:rPr>
          <w:rFonts w:ascii="Calibri" w:hAnsi="Calibri"/>
          <w:sz w:val="22"/>
          <w:szCs w:val="22"/>
        </w:rPr>
      </w:pPr>
      <w:r>
        <w:rPr>
          <w:rFonts w:ascii="Calibri" w:hAnsi="Calibri"/>
          <w:sz w:val="22"/>
          <w:szCs w:val="22"/>
        </w:rPr>
        <w:t>f) RT 26 Normas internacionales de información financiera</w:t>
      </w:r>
    </w:p>
    <w:p w14:paraId="36EF87CA" w14:textId="77777777" w:rsidR="004B112B" w:rsidRDefault="004B112B">
      <w:pPr>
        <w:rPr>
          <w:rFonts w:ascii="Calibri" w:hAnsi="Calibri"/>
          <w:sz w:val="22"/>
          <w:szCs w:val="22"/>
        </w:rPr>
      </w:pPr>
    </w:p>
    <w:tbl>
      <w:tblPr>
        <w:tblW w:w="9638" w:type="dxa"/>
        <w:tblInd w:w="-6" w:type="dxa"/>
        <w:tblLayout w:type="fixed"/>
        <w:tblCellMar>
          <w:top w:w="28" w:type="dxa"/>
          <w:left w:w="28" w:type="dxa"/>
          <w:bottom w:w="28" w:type="dxa"/>
          <w:right w:w="28" w:type="dxa"/>
        </w:tblCellMar>
        <w:tblLook w:val="04A0" w:firstRow="1" w:lastRow="0" w:firstColumn="1" w:lastColumn="0" w:noHBand="0" w:noVBand="1"/>
      </w:tblPr>
      <w:tblGrid>
        <w:gridCol w:w="2554"/>
        <w:gridCol w:w="5806"/>
        <w:gridCol w:w="1278"/>
      </w:tblGrid>
      <w:tr w:rsidR="004B112B" w14:paraId="5A089439" w14:textId="77777777">
        <w:trPr>
          <w:tblHeader/>
        </w:trPr>
        <w:tc>
          <w:tcPr>
            <w:tcW w:w="2554" w:type="dxa"/>
            <w:tcBorders>
              <w:top w:val="single" w:sz="6" w:space="0" w:color="000000"/>
              <w:left w:val="single" w:sz="6" w:space="0" w:color="000000"/>
              <w:bottom w:val="single" w:sz="6" w:space="0" w:color="000000"/>
            </w:tcBorders>
            <w:vAlign w:val="center"/>
          </w:tcPr>
          <w:p w14:paraId="1E391791" w14:textId="77777777" w:rsidR="004B112B" w:rsidRDefault="00000000">
            <w:pPr>
              <w:pStyle w:val="Ttulodelatabla"/>
              <w:rPr>
                <w:rFonts w:hint="eastAsia"/>
              </w:rPr>
            </w:pPr>
            <w:r>
              <w:rPr>
                <w:rStyle w:val="Textoennegrita"/>
                <w:rFonts w:ascii="Calibri" w:hAnsi="Calibri"/>
                <w:b/>
                <w:sz w:val="22"/>
                <w:szCs w:val="22"/>
              </w:rPr>
              <w:t>Norma</w:t>
            </w:r>
          </w:p>
        </w:tc>
        <w:tc>
          <w:tcPr>
            <w:tcW w:w="5806" w:type="dxa"/>
            <w:tcBorders>
              <w:top w:val="single" w:sz="6" w:space="0" w:color="000000"/>
              <w:left w:val="single" w:sz="6" w:space="0" w:color="000000"/>
              <w:bottom w:val="single" w:sz="6" w:space="0" w:color="000000"/>
            </w:tcBorders>
            <w:vAlign w:val="center"/>
          </w:tcPr>
          <w:p w14:paraId="0F49DE96" w14:textId="77777777" w:rsidR="004B112B" w:rsidRDefault="00000000">
            <w:pPr>
              <w:pStyle w:val="Ttulodelatabla"/>
              <w:rPr>
                <w:rFonts w:hint="eastAsia"/>
              </w:rPr>
            </w:pPr>
            <w:r>
              <w:rPr>
                <w:rStyle w:val="Textoennegrita"/>
                <w:rFonts w:ascii="Calibri" w:hAnsi="Calibri"/>
                <w:b/>
                <w:sz w:val="22"/>
                <w:szCs w:val="22"/>
              </w:rPr>
              <w:t>Descripción</w:t>
            </w:r>
          </w:p>
        </w:tc>
        <w:tc>
          <w:tcPr>
            <w:tcW w:w="1278" w:type="dxa"/>
            <w:tcBorders>
              <w:top w:val="single" w:sz="6" w:space="0" w:color="000000"/>
              <w:left w:val="single" w:sz="6" w:space="0" w:color="000000"/>
              <w:bottom w:val="single" w:sz="6" w:space="0" w:color="000000"/>
              <w:right w:val="single" w:sz="6" w:space="0" w:color="000000"/>
            </w:tcBorders>
            <w:vAlign w:val="center"/>
          </w:tcPr>
          <w:p w14:paraId="1FECC9DB" w14:textId="77777777" w:rsidR="004B112B" w:rsidRDefault="00000000">
            <w:pPr>
              <w:pStyle w:val="Ttulodelatabla"/>
              <w:rPr>
                <w:rFonts w:hint="eastAsia"/>
              </w:rPr>
            </w:pPr>
            <w:r>
              <w:rPr>
                <w:rStyle w:val="Textoennegrita"/>
                <w:rFonts w:ascii="Calibri" w:hAnsi="Calibri"/>
                <w:b/>
                <w:sz w:val="22"/>
                <w:szCs w:val="22"/>
              </w:rPr>
              <w:t>Clasificación</w:t>
            </w:r>
          </w:p>
        </w:tc>
      </w:tr>
      <w:tr w:rsidR="004B112B" w14:paraId="33E9093B" w14:textId="77777777">
        <w:tc>
          <w:tcPr>
            <w:tcW w:w="2554" w:type="dxa"/>
            <w:tcBorders>
              <w:left w:val="single" w:sz="6" w:space="0" w:color="000000"/>
              <w:bottom w:val="single" w:sz="6" w:space="0" w:color="000000"/>
            </w:tcBorders>
            <w:vAlign w:val="center"/>
          </w:tcPr>
          <w:p w14:paraId="162B3B5B" w14:textId="77777777" w:rsidR="004B112B" w:rsidRDefault="00000000">
            <w:pPr>
              <w:pStyle w:val="Contenidodelatabla"/>
              <w:jc w:val="center"/>
              <w:rPr>
                <w:rFonts w:hint="eastAsia"/>
              </w:rPr>
            </w:pPr>
            <w:r>
              <w:rPr>
                <w:rStyle w:val="Textoennegrita"/>
                <w:rFonts w:ascii="Calibri" w:hAnsi="Calibri"/>
                <w:b w:val="0"/>
                <w:bCs w:val="0"/>
                <w:sz w:val="22"/>
                <w:szCs w:val="22"/>
              </w:rPr>
              <w:t>NIIF 10 – Estados Financieros Consolidados</w:t>
            </w:r>
          </w:p>
        </w:tc>
        <w:tc>
          <w:tcPr>
            <w:tcW w:w="5806" w:type="dxa"/>
            <w:tcBorders>
              <w:left w:val="single" w:sz="6" w:space="0" w:color="000000"/>
              <w:bottom w:val="single" w:sz="6" w:space="0" w:color="000000"/>
            </w:tcBorders>
            <w:vAlign w:val="center"/>
          </w:tcPr>
          <w:p w14:paraId="1390D413" w14:textId="77777777" w:rsidR="004B112B" w:rsidRDefault="00000000">
            <w:pPr>
              <w:pStyle w:val="Contenidodelatabla"/>
              <w:jc w:val="center"/>
              <w:rPr>
                <w:rFonts w:hint="eastAsia"/>
              </w:rPr>
            </w:pPr>
            <w:r>
              <w:rPr>
                <w:rFonts w:ascii="Calibri" w:hAnsi="Calibri"/>
                <w:sz w:val="22"/>
                <w:szCs w:val="22"/>
              </w:rPr>
              <w:t xml:space="preserve">Norma Internacional de Información Financiera que establece los principios para la </w:t>
            </w:r>
            <w:r>
              <w:rPr>
                <w:rStyle w:val="Textoennegrita"/>
                <w:rFonts w:ascii="Calibri" w:hAnsi="Calibri"/>
                <w:b w:val="0"/>
                <w:bCs w:val="0"/>
                <w:sz w:val="22"/>
                <w:szCs w:val="22"/>
              </w:rPr>
              <w:t>presentación y elaboración de estados contables consolidados</w:t>
            </w:r>
            <w:r>
              <w:rPr>
                <w:rFonts w:ascii="Calibri" w:hAnsi="Calibri"/>
                <w:sz w:val="22"/>
                <w:szCs w:val="22"/>
              </w:rPr>
              <w:t>, definiendo cuándo una empresa controla a otra y debe integrar sus estados financieros.</w:t>
            </w:r>
          </w:p>
        </w:tc>
        <w:tc>
          <w:tcPr>
            <w:tcW w:w="1278" w:type="dxa"/>
            <w:tcBorders>
              <w:left w:val="single" w:sz="6" w:space="0" w:color="000000"/>
              <w:bottom w:val="single" w:sz="6" w:space="0" w:color="000000"/>
              <w:right w:val="single" w:sz="6" w:space="0" w:color="000000"/>
            </w:tcBorders>
            <w:vAlign w:val="center"/>
          </w:tcPr>
          <w:p w14:paraId="3624915A" w14:textId="77777777" w:rsidR="004B112B" w:rsidRDefault="00000000">
            <w:pPr>
              <w:pStyle w:val="Contenidodelatabla"/>
              <w:jc w:val="center"/>
              <w:rPr>
                <w:rFonts w:hint="eastAsia"/>
              </w:rPr>
            </w:pPr>
            <w:r>
              <w:rPr>
                <w:rStyle w:val="Textoennegrita"/>
                <w:rFonts w:ascii="Calibri" w:hAnsi="Calibri"/>
                <w:b w:val="0"/>
                <w:bCs w:val="0"/>
                <w:sz w:val="22"/>
                <w:szCs w:val="22"/>
              </w:rPr>
              <w:t>Profesional</w:t>
            </w:r>
          </w:p>
        </w:tc>
      </w:tr>
      <w:tr w:rsidR="004B112B" w14:paraId="475C4097" w14:textId="77777777">
        <w:tc>
          <w:tcPr>
            <w:tcW w:w="2554" w:type="dxa"/>
            <w:tcBorders>
              <w:left w:val="single" w:sz="6" w:space="0" w:color="000000"/>
              <w:bottom w:val="single" w:sz="6" w:space="0" w:color="000000"/>
            </w:tcBorders>
            <w:vAlign w:val="center"/>
          </w:tcPr>
          <w:p w14:paraId="0E13E69E" w14:textId="77777777" w:rsidR="004B112B" w:rsidRDefault="00000000">
            <w:pPr>
              <w:pStyle w:val="Contenidodelatabla"/>
              <w:jc w:val="center"/>
              <w:rPr>
                <w:rFonts w:hint="eastAsia"/>
              </w:rPr>
            </w:pPr>
            <w:r>
              <w:rPr>
                <w:rStyle w:val="Textoennegrita"/>
                <w:rFonts w:ascii="Calibri" w:hAnsi="Calibri"/>
                <w:b w:val="0"/>
                <w:bCs w:val="0"/>
                <w:sz w:val="22"/>
                <w:szCs w:val="22"/>
              </w:rPr>
              <w:t xml:space="preserve">Circular BCRA sobre Regulación Monetaria </w:t>
            </w:r>
            <w:proofErr w:type="spellStart"/>
            <w:r>
              <w:rPr>
                <w:rStyle w:val="Textoennegrita"/>
                <w:rFonts w:ascii="Calibri" w:hAnsi="Calibri"/>
                <w:b w:val="0"/>
                <w:bCs w:val="0"/>
                <w:sz w:val="22"/>
                <w:szCs w:val="22"/>
              </w:rPr>
              <w:t>N°</w:t>
            </w:r>
            <w:proofErr w:type="spellEnd"/>
            <w:r>
              <w:rPr>
                <w:rStyle w:val="Textoennegrita"/>
                <w:rFonts w:ascii="Calibri" w:hAnsi="Calibri"/>
                <w:b w:val="0"/>
                <w:bCs w:val="0"/>
                <w:sz w:val="22"/>
                <w:szCs w:val="22"/>
              </w:rPr>
              <w:t xml:space="preserve"> 1-67</w:t>
            </w:r>
          </w:p>
        </w:tc>
        <w:tc>
          <w:tcPr>
            <w:tcW w:w="5806" w:type="dxa"/>
            <w:tcBorders>
              <w:left w:val="single" w:sz="6" w:space="0" w:color="000000"/>
              <w:bottom w:val="single" w:sz="6" w:space="0" w:color="000000"/>
            </w:tcBorders>
            <w:vAlign w:val="center"/>
          </w:tcPr>
          <w:p w14:paraId="2C82E822" w14:textId="77777777" w:rsidR="004B112B" w:rsidRDefault="00000000">
            <w:pPr>
              <w:pStyle w:val="Contenidodelatabla"/>
              <w:jc w:val="center"/>
              <w:rPr>
                <w:rFonts w:hint="eastAsia"/>
              </w:rPr>
            </w:pPr>
            <w:r>
              <w:rPr>
                <w:rFonts w:ascii="Calibri" w:hAnsi="Calibri"/>
                <w:sz w:val="22"/>
                <w:szCs w:val="22"/>
              </w:rPr>
              <w:t xml:space="preserve">Disposición emitida por el </w:t>
            </w:r>
            <w:r>
              <w:rPr>
                <w:rStyle w:val="Textoennegrita"/>
                <w:rFonts w:ascii="Calibri" w:hAnsi="Calibri"/>
                <w:b w:val="0"/>
                <w:bCs w:val="0"/>
                <w:sz w:val="22"/>
                <w:szCs w:val="22"/>
              </w:rPr>
              <w:t>Banco Central de la República Argentina</w:t>
            </w:r>
            <w:r>
              <w:rPr>
                <w:rFonts w:ascii="Calibri" w:hAnsi="Calibri"/>
                <w:sz w:val="22"/>
                <w:szCs w:val="22"/>
              </w:rPr>
              <w:t xml:space="preserve">, que regula aspectos contables, financieros y de control aplicables a las </w:t>
            </w:r>
            <w:r>
              <w:rPr>
                <w:rStyle w:val="Textoennegrita"/>
                <w:rFonts w:ascii="Calibri" w:hAnsi="Calibri"/>
                <w:b w:val="0"/>
                <w:bCs w:val="0"/>
                <w:sz w:val="22"/>
                <w:szCs w:val="22"/>
              </w:rPr>
              <w:t>entidades financieras</w:t>
            </w:r>
            <w:r>
              <w:rPr>
                <w:rFonts w:ascii="Calibri" w:hAnsi="Calibri"/>
                <w:sz w:val="22"/>
                <w:szCs w:val="22"/>
              </w:rPr>
              <w:t xml:space="preserve"> bajo su supervisión.</w:t>
            </w:r>
          </w:p>
        </w:tc>
        <w:tc>
          <w:tcPr>
            <w:tcW w:w="1278" w:type="dxa"/>
            <w:tcBorders>
              <w:left w:val="single" w:sz="6" w:space="0" w:color="000000"/>
              <w:bottom w:val="single" w:sz="6" w:space="0" w:color="000000"/>
              <w:right w:val="single" w:sz="6" w:space="0" w:color="000000"/>
            </w:tcBorders>
            <w:vAlign w:val="center"/>
          </w:tcPr>
          <w:p w14:paraId="351024B0" w14:textId="77777777" w:rsidR="004B112B" w:rsidRDefault="00000000">
            <w:pPr>
              <w:pStyle w:val="Contenidodelatabla"/>
              <w:jc w:val="center"/>
              <w:rPr>
                <w:rFonts w:hint="eastAsia"/>
              </w:rPr>
            </w:pPr>
            <w:r>
              <w:rPr>
                <w:rStyle w:val="Textoennegrita"/>
                <w:rFonts w:ascii="Calibri" w:hAnsi="Calibri"/>
                <w:b w:val="0"/>
                <w:bCs w:val="0"/>
                <w:sz w:val="22"/>
                <w:szCs w:val="22"/>
              </w:rPr>
              <w:t>Legal</w:t>
            </w:r>
          </w:p>
        </w:tc>
      </w:tr>
      <w:tr w:rsidR="004B112B" w14:paraId="3BC6CE38" w14:textId="77777777">
        <w:tc>
          <w:tcPr>
            <w:tcW w:w="2554" w:type="dxa"/>
            <w:tcBorders>
              <w:left w:val="single" w:sz="6" w:space="0" w:color="000000"/>
              <w:bottom w:val="single" w:sz="6" w:space="0" w:color="000000"/>
            </w:tcBorders>
            <w:vAlign w:val="center"/>
          </w:tcPr>
          <w:p w14:paraId="3926B3BA" w14:textId="77777777" w:rsidR="004B112B" w:rsidRDefault="00000000">
            <w:pPr>
              <w:pStyle w:val="Contenidodelatabla"/>
              <w:jc w:val="center"/>
              <w:rPr>
                <w:rFonts w:hint="eastAsia"/>
              </w:rPr>
            </w:pPr>
            <w:r>
              <w:rPr>
                <w:rStyle w:val="Textoennegrita"/>
                <w:rFonts w:ascii="Calibri" w:hAnsi="Calibri"/>
                <w:b w:val="0"/>
                <w:bCs w:val="0"/>
                <w:sz w:val="22"/>
                <w:szCs w:val="22"/>
              </w:rPr>
              <w:t xml:space="preserve">Ley </w:t>
            </w:r>
            <w:proofErr w:type="spellStart"/>
            <w:r>
              <w:rPr>
                <w:rStyle w:val="Textoennegrita"/>
                <w:rFonts w:ascii="Calibri" w:hAnsi="Calibri"/>
                <w:b w:val="0"/>
                <w:bCs w:val="0"/>
                <w:sz w:val="22"/>
                <w:szCs w:val="22"/>
              </w:rPr>
              <w:t>N°</w:t>
            </w:r>
            <w:proofErr w:type="spellEnd"/>
            <w:r>
              <w:rPr>
                <w:rStyle w:val="Textoennegrita"/>
                <w:rFonts w:ascii="Calibri" w:hAnsi="Calibri"/>
                <w:b w:val="0"/>
                <w:bCs w:val="0"/>
                <w:sz w:val="22"/>
                <w:szCs w:val="22"/>
              </w:rPr>
              <w:t xml:space="preserve"> 26.994 – Código Civil y Comercial de la Nación (Ley de Sociedades)</w:t>
            </w:r>
          </w:p>
        </w:tc>
        <w:tc>
          <w:tcPr>
            <w:tcW w:w="5806" w:type="dxa"/>
            <w:tcBorders>
              <w:left w:val="single" w:sz="6" w:space="0" w:color="000000"/>
              <w:bottom w:val="single" w:sz="6" w:space="0" w:color="000000"/>
            </w:tcBorders>
            <w:vAlign w:val="center"/>
          </w:tcPr>
          <w:p w14:paraId="1CC9BC5E" w14:textId="77777777" w:rsidR="004B112B" w:rsidRDefault="00000000">
            <w:pPr>
              <w:pStyle w:val="Contenidodelatabla"/>
              <w:jc w:val="center"/>
              <w:rPr>
                <w:rFonts w:hint="eastAsia"/>
              </w:rPr>
            </w:pPr>
            <w:r>
              <w:rPr>
                <w:rFonts w:ascii="Calibri" w:hAnsi="Calibri"/>
                <w:sz w:val="22"/>
                <w:szCs w:val="22"/>
              </w:rPr>
              <w:t xml:space="preserve">Norma legal que regula la </w:t>
            </w:r>
            <w:r>
              <w:rPr>
                <w:rStyle w:val="Textoennegrita"/>
                <w:rFonts w:ascii="Calibri" w:hAnsi="Calibri"/>
                <w:b w:val="0"/>
                <w:bCs w:val="0"/>
                <w:sz w:val="22"/>
                <w:szCs w:val="22"/>
              </w:rPr>
              <w:t>constitución, funcionamiento y disolución de las sociedades comerciales</w:t>
            </w:r>
            <w:r>
              <w:rPr>
                <w:rFonts w:ascii="Calibri" w:hAnsi="Calibri"/>
                <w:sz w:val="22"/>
                <w:szCs w:val="22"/>
              </w:rPr>
              <w:t xml:space="preserve">, incluyendo disposiciones sobre </w:t>
            </w:r>
            <w:r>
              <w:rPr>
                <w:rStyle w:val="Textoennegrita"/>
                <w:rFonts w:ascii="Calibri" w:hAnsi="Calibri"/>
                <w:b w:val="0"/>
                <w:bCs w:val="0"/>
                <w:sz w:val="22"/>
                <w:szCs w:val="22"/>
              </w:rPr>
              <w:t>contabilidad, registración y presentación de estados contables</w:t>
            </w:r>
            <w:r>
              <w:rPr>
                <w:rFonts w:ascii="Calibri" w:hAnsi="Calibri"/>
                <w:sz w:val="22"/>
                <w:szCs w:val="22"/>
              </w:rPr>
              <w:t>.</w:t>
            </w:r>
          </w:p>
        </w:tc>
        <w:tc>
          <w:tcPr>
            <w:tcW w:w="1278" w:type="dxa"/>
            <w:tcBorders>
              <w:left w:val="single" w:sz="6" w:space="0" w:color="000000"/>
              <w:bottom w:val="single" w:sz="6" w:space="0" w:color="000000"/>
              <w:right w:val="single" w:sz="6" w:space="0" w:color="000000"/>
            </w:tcBorders>
            <w:vAlign w:val="center"/>
          </w:tcPr>
          <w:p w14:paraId="024C14CE" w14:textId="77777777" w:rsidR="004B112B" w:rsidRDefault="00000000">
            <w:pPr>
              <w:pStyle w:val="Contenidodelatabla"/>
              <w:jc w:val="center"/>
              <w:rPr>
                <w:rFonts w:hint="eastAsia"/>
              </w:rPr>
            </w:pPr>
            <w:r>
              <w:rPr>
                <w:rStyle w:val="Textoennegrita"/>
                <w:rFonts w:ascii="Calibri" w:hAnsi="Calibri"/>
                <w:b w:val="0"/>
                <w:bCs w:val="0"/>
                <w:sz w:val="22"/>
                <w:szCs w:val="22"/>
              </w:rPr>
              <w:t>Legal</w:t>
            </w:r>
          </w:p>
        </w:tc>
      </w:tr>
      <w:tr w:rsidR="004B112B" w14:paraId="52799698" w14:textId="77777777">
        <w:tc>
          <w:tcPr>
            <w:tcW w:w="2554" w:type="dxa"/>
            <w:tcBorders>
              <w:left w:val="single" w:sz="6" w:space="0" w:color="000000"/>
              <w:bottom w:val="single" w:sz="6" w:space="0" w:color="000000"/>
            </w:tcBorders>
            <w:vAlign w:val="center"/>
          </w:tcPr>
          <w:p w14:paraId="54E21AB4" w14:textId="77777777" w:rsidR="004B112B" w:rsidRDefault="00000000">
            <w:pPr>
              <w:pStyle w:val="Contenidodelatabla"/>
              <w:jc w:val="center"/>
              <w:rPr>
                <w:rFonts w:hint="eastAsia"/>
              </w:rPr>
            </w:pPr>
            <w:r>
              <w:rPr>
                <w:rStyle w:val="Textoennegrita"/>
                <w:rFonts w:ascii="Calibri" w:hAnsi="Calibri"/>
                <w:b w:val="0"/>
                <w:bCs w:val="0"/>
                <w:sz w:val="22"/>
                <w:szCs w:val="22"/>
              </w:rPr>
              <w:t xml:space="preserve">Resolución </w:t>
            </w:r>
            <w:proofErr w:type="spellStart"/>
            <w:r>
              <w:rPr>
                <w:rStyle w:val="Textoennegrita"/>
                <w:rFonts w:ascii="Calibri" w:hAnsi="Calibri"/>
                <w:b w:val="0"/>
                <w:bCs w:val="0"/>
                <w:sz w:val="22"/>
                <w:szCs w:val="22"/>
              </w:rPr>
              <w:t>N°</w:t>
            </w:r>
            <w:proofErr w:type="spellEnd"/>
            <w:r>
              <w:rPr>
                <w:rStyle w:val="Textoennegrita"/>
                <w:rFonts w:ascii="Calibri" w:hAnsi="Calibri"/>
                <w:b w:val="0"/>
                <w:bCs w:val="0"/>
                <w:sz w:val="22"/>
                <w:szCs w:val="22"/>
              </w:rPr>
              <w:t xml:space="preserve"> 420/2011 FACPCE – Prevención del Lavado de Activos</w:t>
            </w:r>
          </w:p>
        </w:tc>
        <w:tc>
          <w:tcPr>
            <w:tcW w:w="5806" w:type="dxa"/>
            <w:tcBorders>
              <w:left w:val="single" w:sz="6" w:space="0" w:color="000000"/>
              <w:bottom w:val="single" w:sz="6" w:space="0" w:color="000000"/>
            </w:tcBorders>
            <w:vAlign w:val="center"/>
          </w:tcPr>
          <w:p w14:paraId="01274C80" w14:textId="77777777" w:rsidR="004B112B" w:rsidRDefault="00000000">
            <w:pPr>
              <w:pStyle w:val="Contenidodelatabla"/>
              <w:rPr>
                <w:rFonts w:hint="eastAsia"/>
              </w:rPr>
            </w:pPr>
            <w:r>
              <w:rPr>
                <w:rFonts w:ascii="Calibri" w:hAnsi="Calibri"/>
                <w:sz w:val="22"/>
                <w:szCs w:val="22"/>
              </w:rPr>
              <w:t xml:space="preserve">Norma emitida por la </w:t>
            </w:r>
            <w:r>
              <w:rPr>
                <w:rStyle w:val="Textoennegrita"/>
                <w:rFonts w:ascii="Calibri" w:hAnsi="Calibri"/>
                <w:b w:val="0"/>
                <w:bCs w:val="0"/>
                <w:sz w:val="22"/>
                <w:szCs w:val="22"/>
              </w:rPr>
              <w:t>Federación Argentina de Consejos Profesionales de Ciencias Económicas (FACPCE)</w:t>
            </w:r>
            <w:r>
              <w:rPr>
                <w:rFonts w:ascii="Calibri" w:hAnsi="Calibri"/>
                <w:sz w:val="22"/>
                <w:szCs w:val="22"/>
              </w:rPr>
              <w:t xml:space="preserve"> que establece procedimientos y responsabilidades para la </w:t>
            </w:r>
            <w:r>
              <w:rPr>
                <w:rStyle w:val="Textoennegrita"/>
                <w:rFonts w:ascii="Calibri" w:hAnsi="Calibri"/>
                <w:b w:val="0"/>
                <w:bCs w:val="0"/>
                <w:sz w:val="22"/>
                <w:szCs w:val="22"/>
              </w:rPr>
              <w:t>prevención del lavado de dinero y financiamiento del terrorismo</w:t>
            </w:r>
            <w:r>
              <w:rPr>
                <w:rFonts w:ascii="Calibri" w:hAnsi="Calibri"/>
                <w:sz w:val="22"/>
                <w:szCs w:val="22"/>
              </w:rPr>
              <w:t xml:space="preserve"> por parte de los profesionales en ciencias económicas.</w:t>
            </w:r>
          </w:p>
        </w:tc>
        <w:tc>
          <w:tcPr>
            <w:tcW w:w="1278" w:type="dxa"/>
            <w:tcBorders>
              <w:left w:val="single" w:sz="6" w:space="0" w:color="000000"/>
              <w:bottom w:val="single" w:sz="6" w:space="0" w:color="000000"/>
              <w:right w:val="single" w:sz="6" w:space="0" w:color="000000"/>
            </w:tcBorders>
            <w:vAlign w:val="center"/>
          </w:tcPr>
          <w:p w14:paraId="5BAE8D8F" w14:textId="77777777" w:rsidR="004B112B" w:rsidRDefault="00000000">
            <w:pPr>
              <w:pStyle w:val="Contenidodelatabla"/>
              <w:jc w:val="center"/>
              <w:rPr>
                <w:rFonts w:hint="eastAsia"/>
              </w:rPr>
            </w:pPr>
            <w:r>
              <w:rPr>
                <w:rStyle w:val="Textoennegrita"/>
                <w:rFonts w:ascii="Calibri" w:hAnsi="Calibri"/>
                <w:b w:val="0"/>
                <w:bCs w:val="0"/>
                <w:sz w:val="22"/>
                <w:szCs w:val="22"/>
              </w:rPr>
              <w:t>Profesional</w:t>
            </w:r>
          </w:p>
        </w:tc>
      </w:tr>
      <w:tr w:rsidR="004B112B" w14:paraId="48087903" w14:textId="77777777">
        <w:tc>
          <w:tcPr>
            <w:tcW w:w="2554" w:type="dxa"/>
            <w:tcBorders>
              <w:left w:val="single" w:sz="6" w:space="0" w:color="000000"/>
              <w:bottom w:val="single" w:sz="6" w:space="0" w:color="000000"/>
            </w:tcBorders>
            <w:vAlign w:val="center"/>
          </w:tcPr>
          <w:p w14:paraId="1D931CE3" w14:textId="77777777" w:rsidR="004B112B" w:rsidRDefault="00000000">
            <w:pPr>
              <w:pStyle w:val="Contenidodelatabla"/>
              <w:jc w:val="center"/>
              <w:rPr>
                <w:rFonts w:hint="eastAsia"/>
              </w:rPr>
            </w:pPr>
            <w:r>
              <w:rPr>
                <w:rStyle w:val="Textoennegrita"/>
                <w:rFonts w:ascii="Calibri" w:hAnsi="Calibri"/>
                <w:b w:val="0"/>
                <w:bCs w:val="0"/>
                <w:sz w:val="22"/>
                <w:szCs w:val="22"/>
              </w:rPr>
              <w:t xml:space="preserve">Decreto </w:t>
            </w:r>
            <w:proofErr w:type="spellStart"/>
            <w:r>
              <w:rPr>
                <w:rStyle w:val="Textoennegrita"/>
                <w:rFonts w:ascii="Calibri" w:hAnsi="Calibri"/>
                <w:b w:val="0"/>
                <w:bCs w:val="0"/>
                <w:sz w:val="22"/>
                <w:szCs w:val="22"/>
              </w:rPr>
              <w:t>N°</w:t>
            </w:r>
            <w:proofErr w:type="spellEnd"/>
            <w:r>
              <w:rPr>
                <w:rStyle w:val="Textoennegrita"/>
                <w:rFonts w:ascii="Calibri" w:hAnsi="Calibri"/>
                <w:b w:val="0"/>
                <w:bCs w:val="0"/>
                <w:sz w:val="22"/>
                <w:szCs w:val="22"/>
              </w:rPr>
              <w:t xml:space="preserve"> 316/95 del Poder Ejecutivo Nacional</w:t>
            </w:r>
          </w:p>
        </w:tc>
        <w:tc>
          <w:tcPr>
            <w:tcW w:w="5806" w:type="dxa"/>
            <w:tcBorders>
              <w:left w:val="single" w:sz="6" w:space="0" w:color="000000"/>
              <w:bottom w:val="single" w:sz="6" w:space="0" w:color="000000"/>
            </w:tcBorders>
            <w:vAlign w:val="center"/>
          </w:tcPr>
          <w:p w14:paraId="2FC7F7DF" w14:textId="77777777" w:rsidR="004B112B" w:rsidRDefault="00000000">
            <w:pPr>
              <w:pStyle w:val="Contenidodelatabla"/>
              <w:rPr>
                <w:rFonts w:hint="eastAsia"/>
              </w:rPr>
            </w:pPr>
            <w:r>
              <w:rPr>
                <w:rFonts w:ascii="Calibri" w:hAnsi="Calibri"/>
                <w:sz w:val="22"/>
                <w:szCs w:val="22"/>
              </w:rPr>
              <w:t xml:space="preserve">Disposición con fuerza de ley que reglamenta la </w:t>
            </w:r>
            <w:r>
              <w:rPr>
                <w:rStyle w:val="Textoennegrita"/>
                <w:rFonts w:ascii="Calibri" w:hAnsi="Calibri"/>
                <w:b w:val="0"/>
                <w:bCs w:val="0"/>
                <w:sz w:val="22"/>
                <w:szCs w:val="22"/>
              </w:rPr>
              <w:t>presentación y control de información contable y societaria</w:t>
            </w:r>
            <w:r>
              <w:rPr>
                <w:rFonts w:ascii="Calibri" w:hAnsi="Calibri"/>
                <w:sz w:val="22"/>
                <w:szCs w:val="22"/>
              </w:rPr>
              <w:t>, complementando la normativa mercantil vigente.</w:t>
            </w:r>
          </w:p>
        </w:tc>
        <w:tc>
          <w:tcPr>
            <w:tcW w:w="1278" w:type="dxa"/>
            <w:tcBorders>
              <w:left w:val="single" w:sz="6" w:space="0" w:color="000000"/>
              <w:bottom w:val="single" w:sz="6" w:space="0" w:color="000000"/>
              <w:right w:val="single" w:sz="6" w:space="0" w:color="000000"/>
            </w:tcBorders>
            <w:vAlign w:val="center"/>
          </w:tcPr>
          <w:p w14:paraId="257D03D3" w14:textId="77777777" w:rsidR="004B112B" w:rsidRDefault="00000000">
            <w:pPr>
              <w:pStyle w:val="Contenidodelatabla"/>
              <w:jc w:val="center"/>
              <w:rPr>
                <w:rFonts w:hint="eastAsia"/>
              </w:rPr>
            </w:pPr>
            <w:r>
              <w:rPr>
                <w:rStyle w:val="Textoennegrita"/>
                <w:rFonts w:ascii="Calibri" w:hAnsi="Calibri"/>
                <w:b w:val="0"/>
                <w:bCs w:val="0"/>
                <w:sz w:val="22"/>
                <w:szCs w:val="22"/>
              </w:rPr>
              <w:t>Legal</w:t>
            </w:r>
          </w:p>
        </w:tc>
      </w:tr>
      <w:tr w:rsidR="004B112B" w14:paraId="1B50C3DF" w14:textId="77777777">
        <w:tc>
          <w:tcPr>
            <w:tcW w:w="2554" w:type="dxa"/>
            <w:tcBorders>
              <w:left w:val="single" w:sz="6" w:space="0" w:color="000000"/>
              <w:bottom w:val="single" w:sz="6" w:space="0" w:color="000000"/>
            </w:tcBorders>
            <w:vAlign w:val="center"/>
          </w:tcPr>
          <w:p w14:paraId="08174D3F" w14:textId="77777777" w:rsidR="004B112B" w:rsidRDefault="00000000">
            <w:pPr>
              <w:pStyle w:val="Contenidodelatabla"/>
              <w:jc w:val="center"/>
              <w:rPr>
                <w:rFonts w:hint="eastAsia"/>
              </w:rPr>
            </w:pPr>
            <w:r>
              <w:rPr>
                <w:rStyle w:val="Textoennegrita"/>
                <w:rFonts w:ascii="Calibri" w:hAnsi="Calibri"/>
                <w:b w:val="0"/>
                <w:bCs w:val="0"/>
                <w:sz w:val="22"/>
                <w:szCs w:val="22"/>
              </w:rPr>
              <w:t xml:space="preserve">Resolución Técnica </w:t>
            </w:r>
            <w:proofErr w:type="spellStart"/>
            <w:r>
              <w:rPr>
                <w:rStyle w:val="Textoennegrita"/>
                <w:rFonts w:ascii="Calibri" w:hAnsi="Calibri"/>
                <w:b w:val="0"/>
                <w:bCs w:val="0"/>
                <w:sz w:val="22"/>
                <w:szCs w:val="22"/>
              </w:rPr>
              <w:t>N°</w:t>
            </w:r>
            <w:proofErr w:type="spellEnd"/>
            <w:r>
              <w:rPr>
                <w:rStyle w:val="Textoennegrita"/>
                <w:rFonts w:ascii="Calibri" w:hAnsi="Calibri"/>
                <w:b w:val="0"/>
                <w:bCs w:val="0"/>
                <w:sz w:val="22"/>
                <w:szCs w:val="22"/>
              </w:rPr>
              <w:t xml:space="preserve"> 26 – Normas Internacionales de Información Financiera (NIIF)</w:t>
            </w:r>
          </w:p>
        </w:tc>
        <w:tc>
          <w:tcPr>
            <w:tcW w:w="5806" w:type="dxa"/>
            <w:tcBorders>
              <w:left w:val="single" w:sz="6" w:space="0" w:color="000000"/>
              <w:bottom w:val="single" w:sz="6" w:space="0" w:color="000000"/>
            </w:tcBorders>
            <w:vAlign w:val="center"/>
          </w:tcPr>
          <w:p w14:paraId="00FB259C" w14:textId="77777777" w:rsidR="004B112B" w:rsidRDefault="00000000">
            <w:pPr>
              <w:pStyle w:val="Contenidodelatabla"/>
              <w:rPr>
                <w:rFonts w:hint="eastAsia"/>
              </w:rPr>
            </w:pPr>
            <w:r>
              <w:rPr>
                <w:rFonts w:ascii="Calibri" w:hAnsi="Calibri"/>
                <w:sz w:val="22"/>
                <w:szCs w:val="22"/>
              </w:rPr>
              <w:t xml:space="preserve">Resolución Técnica emitida por la </w:t>
            </w:r>
            <w:r>
              <w:rPr>
                <w:rStyle w:val="Textoennegrita"/>
                <w:rFonts w:ascii="Calibri" w:hAnsi="Calibri"/>
                <w:b w:val="0"/>
                <w:bCs w:val="0"/>
                <w:sz w:val="22"/>
                <w:szCs w:val="22"/>
              </w:rPr>
              <w:t>FACPCE</w:t>
            </w:r>
            <w:r>
              <w:rPr>
                <w:rFonts w:ascii="Calibri" w:hAnsi="Calibri"/>
                <w:sz w:val="22"/>
                <w:szCs w:val="22"/>
              </w:rPr>
              <w:t xml:space="preserve"> que dispone la </w:t>
            </w:r>
            <w:r>
              <w:rPr>
                <w:rStyle w:val="Textoennegrita"/>
                <w:rFonts w:ascii="Calibri" w:hAnsi="Calibri"/>
                <w:b w:val="0"/>
                <w:bCs w:val="0"/>
                <w:sz w:val="22"/>
                <w:szCs w:val="22"/>
              </w:rPr>
              <w:t>adopción de las NIIF</w:t>
            </w:r>
            <w:r>
              <w:rPr>
                <w:rFonts w:ascii="Calibri" w:hAnsi="Calibri"/>
                <w:sz w:val="22"/>
                <w:szCs w:val="22"/>
              </w:rPr>
              <w:t xml:space="preserve"> para la elaboración de los estados contables, alineando las prácticas nacionales con los estándares internacionales.</w:t>
            </w:r>
          </w:p>
        </w:tc>
        <w:tc>
          <w:tcPr>
            <w:tcW w:w="1278" w:type="dxa"/>
            <w:tcBorders>
              <w:left w:val="single" w:sz="6" w:space="0" w:color="000000"/>
              <w:bottom w:val="single" w:sz="6" w:space="0" w:color="000000"/>
              <w:right w:val="single" w:sz="6" w:space="0" w:color="000000"/>
            </w:tcBorders>
            <w:vAlign w:val="center"/>
          </w:tcPr>
          <w:p w14:paraId="3DDE7C3B" w14:textId="77777777" w:rsidR="004B112B" w:rsidRDefault="00000000">
            <w:pPr>
              <w:pStyle w:val="Contenidodelatabla"/>
              <w:jc w:val="center"/>
              <w:rPr>
                <w:rFonts w:hint="eastAsia"/>
              </w:rPr>
            </w:pPr>
            <w:r>
              <w:rPr>
                <w:rStyle w:val="Textoennegrita"/>
                <w:rFonts w:ascii="Calibri" w:hAnsi="Calibri"/>
                <w:b w:val="0"/>
                <w:bCs w:val="0"/>
                <w:sz w:val="22"/>
                <w:szCs w:val="22"/>
              </w:rPr>
              <w:t>Profesional</w:t>
            </w:r>
          </w:p>
        </w:tc>
      </w:tr>
    </w:tbl>
    <w:p w14:paraId="0476F830" w14:textId="77777777" w:rsidR="004B112B" w:rsidRDefault="004B112B">
      <w:pPr>
        <w:pStyle w:val="Textoindependiente"/>
        <w:rPr>
          <w:rStyle w:val="Textoennegrita"/>
          <w:rFonts w:ascii="Calibri" w:hAnsi="Calibri"/>
          <w:sz w:val="22"/>
          <w:szCs w:val="22"/>
        </w:rPr>
      </w:pPr>
    </w:p>
    <w:p w14:paraId="631C096D" w14:textId="77777777" w:rsidR="004B112B" w:rsidRDefault="004B112B">
      <w:pPr>
        <w:pStyle w:val="Textoindependiente"/>
        <w:rPr>
          <w:rFonts w:hint="eastAsia"/>
        </w:rPr>
      </w:pPr>
    </w:p>
    <w:p w14:paraId="45A27915" w14:textId="77777777" w:rsidR="004B112B" w:rsidRDefault="004B112B">
      <w:pPr>
        <w:pStyle w:val="Textoindependiente"/>
        <w:rPr>
          <w:rStyle w:val="Textoennegrita"/>
          <w:rFonts w:hint="eastAsia"/>
        </w:rPr>
      </w:pPr>
    </w:p>
    <w:p w14:paraId="050BF658" w14:textId="77777777" w:rsidR="004B112B" w:rsidRDefault="004B112B">
      <w:pPr>
        <w:pStyle w:val="Textoindependiente"/>
        <w:tabs>
          <w:tab w:val="left" w:pos="0"/>
        </w:tabs>
        <w:ind w:left="426"/>
        <w:rPr>
          <w:rStyle w:val="Textoennegrita"/>
          <w:rFonts w:hint="eastAsia"/>
        </w:rPr>
      </w:pPr>
    </w:p>
    <w:sectPr w:rsidR="004B112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5B55"/>
    <w:multiLevelType w:val="multilevel"/>
    <w:tmpl w:val="46384226"/>
    <w:lvl w:ilvl="0">
      <w:start w:val="1"/>
      <w:numFmt w:val="decimal"/>
      <w:lvlText w:val="%1."/>
      <w:lvlJc w:val="left"/>
      <w:pPr>
        <w:tabs>
          <w:tab w:val="num" w:pos="709"/>
        </w:tabs>
        <w:ind w:left="709" w:hanging="283"/>
      </w:p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68502E7"/>
    <w:multiLevelType w:val="multilevel"/>
    <w:tmpl w:val="2D06C58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5294411B"/>
    <w:multiLevelType w:val="multilevel"/>
    <w:tmpl w:val="E284705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6F3C2774"/>
    <w:multiLevelType w:val="multilevel"/>
    <w:tmpl w:val="7D50D6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89753719">
    <w:abstractNumId w:val="1"/>
  </w:num>
  <w:num w:numId="2" w16cid:durableId="147988378">
    <w:abstractNumId w:val="2"/>
  </w:num>
  <w:num w:numId="3" w16cid:durableId="138038462">
    <w:abstractNumId w:val="0"/>
  </w:num>
  <w:num w:numId="4" w16cid:durableId="94712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2B"/>
    <w:rsid w:val="00032131"/>
    <w:rsid w:val="004B112B"/>
    <w:rsid w:val="006D3E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34E4"/>
  <w15:docId w15:val="{5830168B-B6AA-4767-A290-B7F570E6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s-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Ttulo"/>
    <w:next w:val="Textoindependiente"/>
    <w:uiPriority w:val="9"/>
    <w:unhideWhenUsed/>
    <w:qFormat/>
    <w:pPr>
      <w:spacing w:before="140"/>
      <w:outlineLvl w:val="2"/>
    </w:pPr>
    <w:rPr>
      <w:rFonts w:ascii="Liberation Serif" w:eastAsia="N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6793</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Barby Videla</dc:creator>
  <dc:description/>
  <cp:lastModifiedBy>Barby Videla</cp:lastModifiedBy>
  <cp:revision>2</cp:revision>
  <dcterms:created xsi:type="dcterms:W3CDTF">2025-10-25T18:46:00Z</dcterms:created>
  <dcterms:modified xsi:type="dcterms:W3CDTF">2025-10-25T18:46:00Z</dcterms:modified>
  <dc:language>es-AR</dc:language>
</cp:coreProperties>
</file>