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9AF7" w14:textId="77777777" w:rsidR="00375EE6" w:rsidRPr="007D6138" w:rsidRDefault="00375EE6" w:rsidP="00375EE6">
      <w:pPr>
        <w:rPr>
          <w:rFonts w:ascii="Times New Roman" w:hAnsi="Times New Roman" w:cs="Times New Roman"/>
          <w:u w:val="single"/>
        </w:rPr>
      </w:pPr>
      <w:r w:rsidRPr="007D6138">
        <w:rPr>
          <w:rFonts w:ascii="Times New Roman" w:hAnsi="Times New Roman" w:cs="Times New Roman"/>
          <w:u w:val="single"/>
        </w:rPr>
        <w:t>1) Leer la siguiente situación y a partir de ella, completar el cuadro</w:t>
      </w:r>
      <w:r w:rsidR="00B95B51" w:rsidRPr="007D6138">
        <w:rPr>
          <w:rFonts w:ascii="Times New Roman" w:hAnsi="Times New Roman" w:cs="Times New Roman"/>
          <w:u w:val="single"/>
        </w:rPr>
        <w:t xml:space="preserve"> que se encuentra al </w:t>
      </w:r>
      <w:r w:rsidRPr="007D6138">
        <w:rPr>
          <w:rFonts w:ascii="Times New Roman" w:hAnsi="Times New Roman" w:cs="Times New Roman"/>
          <w:u w:val="single"/>
        </w:rPr>
        <w:t>final de la misma</w:t>
      </w:r>
    </w:p>
    <w:p w14:paraId="7F55AB87" w14:textId="77777777" w:rsidR="00375EE6" w:rsidRPr="007D6138" w:rsidRDefault="00375EE6" w:rsidP="00375EE6">
      <w:pPr>
        <w:jc w:val="center"/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 xml:space="preserve">El cierre contable en </w:t>
      </w:r>
      <w:proofErr w:type="spellStart"/>
      <w:r w:rsidRPr="007D6138">
        <w:rPr>
          <w:rFonts w:ascii="Times New Roman" w:hAnsi="Times New Roman" w:cs="Times New Roman"/>
        </w:rPr>
        <w:t>AgroSur</w:t>
      </w:r>
      <w:proofErr w:type="spellEnd"/>
      <w:r w:rsidRPr="007D6138">
        <w:rPr>
          <w:rFonts w:ascii="Times New Roman" w:hAnsi="Times New Roman" w:cs="Times New Roman"/>
        </w:rPr>
        <w:t xml:space="preserve"> S.A.</w:t>
      </w:r>
    </w:p>
    <w:p w14:paraId="14A243EB" w14:textId="77777777" w:rsidR="00375EE6" w:rsidRPr="007D6138" w:rsidRDefault="00375EE6" w:rsidP="00B95B51">
      <w:pPr>
        <w:jc w:val="both"/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 xml:space="preserve">Durante el mes de diciembre, el equipo contable de </w:t>
      </w:r>
      <w:proofErr w:type="spellStart"/>
      <w:r w:rsidRPr="007D6138">
        <w:rPr>
          <w:rFonts w:ascii="Times New Roman" w:hAnsi="Times New Roman" w:cs="Times New Roman"/>
        </w:rPr>
        <w:t>AgroSur</w:t>
      </w:r>
      <w:proofErr w:type="spellEnd"/>
      <w:r w:rsidRPr="007D6138">
        <w:rPr>
          <w:rFonts w:ascii="Times New Roman" w:hAnsi="Times New Roman" w:cs="Times New Roman"/>
        </w:rPr>
        <w:t xml:space="preserve"> S.A. trabajaba intensamente en el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cierre del ejercicio económico. Carla, debía preparar un conjunto de informes que respondieran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a distintas necesidades: primero, el gerente de producción le pidió un resumen de los costos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operativos por unidad, para evaluar la eficiencia de cada planta. Carla lo elaboró rápidamente,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incluyendo datos detallados sobre consumo de insumos, horas de trabajo y gastos indirectos.</w:t>
      </w:r>
    </w:p>
    <w:p w14:paraId="30145B2D" w14:textId="77777777" w:rsidR="00375EE6" w:rsidRPr="007D6138" w:rsidRDefault="00375EE6" w:rsidP="00B95B51">
      <w:pPr>
        <w:jc w:val="both"/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>Al mismo tiempo, recibió una solicitud del área de relaciones institucionales: necesitaban un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informe con los principales indicadores financieros para incluir en una presentación ante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potenciales inversores. Carla seleccion</w:t>
      </w:r>
      <w:r w:rsidR="00B95B51" w:rsidRPr="007D6138">
        <w:rPr>
          <w:rFonts w:ascii="Times New Roman" w:hAnsi="Times New Roman" w:cs="Times New Roman"/>
        </w:rPr>
        <w:t xml:space="preserve">ó </w:t>
      </w:r>
      <w:r w:rsidRPr="007D6138">
        <w:rPr>
          <w:rFonts w:ascii="Times New Roman" w:hAnsi="Times New Roman" w:cs="Times New Roman"/>
        </w:rPr>
        <w:t xml:space="preserve"> los datos más representativos del balance y los ajustó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para que fueran c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mprensibles para pers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nas ajenas al sect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r c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ntable.</w:t>
      </w:r>
    </w:p>
    <w:p w14:paraId="17FA87CB" w14:textId="77777777" w:rsidR="00A6228A" w:rsidRPr="007D6138" w:rsidRDefault="00375EE6" w:rsidP="00B95B51">
      <w:pPr>
        <w:jc w:val="both"/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>Finalmente, el estudi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 xml:space="preserve"> c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ntable extern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 xml:space="preserve"> que audita a la empresa s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licit</w:t>
      </w:r>
      <w:r w:rsidR="00B95B51" w:rsidRPr="007D6138">
        <w:rPr>
          <w:rFonts w:ascii="Times New Roman" w:hAnsi="Times New Roman" w:cs="Times New Roman"/>
        </w:rPr>
        <w:t>ó</w:t>
      </w:r>
      <w:r w:rsidRPr="007D6138">
        <w:rPr>
          <w:rFonts w:ascii="Times New Roman" w:hAnsi="Times New Roman" w:cs="Times New Roman"/>
        </w:rPr>
        <w:t xml:space="preserve"> acces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 xml:space="preserve"> a l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libr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y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registr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para iniciar la revisi</w:t>
      </w:r>
      <w:r w:rsidR="00B95B51" w:rsidRPr="007D6138">
        <w:rPr>
          <w:rFonts w:ascii="Times New Roman" w:hAnsi="Times New Roman" w:cs="Times New Roman"/>
        </w:rPr>
        <w:t>ó</w:t>
      </w:r>
      <w:r w:rsidRPr="007D6138">
        <w:rPr>
          <w:rFonts w:ascii="Times New Roman" w:hAnsi="Times New Roman" w:cs="Times New Roman"/>
        </w:rPr>
        <w:t xml:space="preserve">n anual. Carla 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rganiz</w:t>
      </w:r>
      <w:r w:rsidR="00B95B51" w:rsidRPr="007D6138">
        <w:rPr>
          <w:rFonts w:ascii="Times New Roman" w:hAnsi="Times New Roman" w:cs="Times New Roman"/>
        </w:rPr>
        <w:t>ó</w:t>
      </w:r>
      <w:r w:rsidRPr="007D6138">
        <w:rPr>
          <w:rFonts w:ascii="Times New Roman" w:hAnsi="Times New Roman" w:cs="Times New Roman"/>
        </w:rPr>
        <w:t xml:space="preserve"> t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da la d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cumentaci</w:t>
      </w:r>
      <w:r w:rsidR="00B95B51" w:rsidRPr="007D6138">
        <w:rPr>
          <w:rFonts w:ascii="Times New Roman" w:hAnsi="Times New Roman" w:cs="Times New Roman"/>
        </w:rPr>
        <w:t>ó</w:t>
      </w:r>
      <w:r w:rsidRPr="007D6138">
        <w:rPr>
          <w:rFonts w:ascii="Times New Roman" w:hAnsi="Times New Roman" w:cs="Times New Roman"/>
        </w:rPr>
        <w:t>n y prepar</w:t>
      </w:r>
      <w:r w:rsidR="00B95B51" w:rsidRPr="007D6138">
        <w:rPr>
          <w:rFonts w:ascii="Times New Roman" w:hAnsi="Times New Roman" w:cs="Times New Roman"/>
        </w:rPr>
        <w:t>ó</w:t>
      </w:r>
      <w:r w:rsidRPr="007D6138">
        <w:rPr>
          <w:rFonts w:ascii="Times New Roman" w:hAnsi="Times New Roman" w:cs="Times New Roman"/>
        </w:rPr>
        <w:t xml:space="preserve"> una</w:t>
      </w:r>
      <w:r w:rsidR="00B95B51" w:rsidRPr="007D6138">
        <w:rPr>
          <w:rFonts w:ascii="Times New Roman" w:hAnsi="Times New Roman" w:cs="Times New Roman"/>
        </w:rPr>
        <w:t xml:space="preserve"> </w:t>
      </w:r>
      <w:r w:rsidRPr="007D6138">
        <w:rPr>
          <w:rFonts w:ascii="Times New Roman" w:hAnsi="Times New Roman" w:cs="Times New Roman"/>
        </w:rPr>
        <w:t>carpeta c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 l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estad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c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ntables, l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papeles de trabaj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 xml:space="preserve"> y las c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nciliaci</w:t>
      </w:r>
      <w:r w:rsidR="00B95B51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nes bancarias.</w:t>
      </w:r>
      <w:r w:rsidRPr="007D6138">
        <w:rPr>
          <w:rFonts w:ascii="Times New Roman" w:hAnsi="Times New Roman" w:cs="Times New Roman"/>
        </w:rPr>
        <w:cr/>
      </w:r>
    </w:p>
    <w:p w14:paraId="0138444D" w14:textId="77777777" w:rsidR="00B95B51" w:rsidRPr="007D6138" w:rsidRDefault="00B95B51" w:rsidP="00B95B51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36"/>
        <w:gridCol w:w="3345"/>
        <w:gridCol w:w="2410"/>
        <w:gridCol w:w="1617"/>
        <w:gridCol w:w="2493"/>
      </w:tblGrid>
      <w:tr w:rsidR="00B95B51" w:rsidRPr="007D6138" w14:paraId="110B9CAA" w14:textId="77777777" w:rsidTr="005E4484">
        <w:tc>
          <w:tcPr>
            <w:tcW w:w="336" w:type="dxa"/>
            <w:vAlign w:val="center"/>
          </w:tcPr>
          <w:p w14:paraId="66A0F15F" w14:textId="77777777" w:rsidR="00B95B51" w:rsidRPr="007D6138" w:rsidRDefault="00B95B51" w:rsidP="005E4484">
            <w:pPr>
              <w:pStyle w:val="Ttulodelatabla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14:paraId="4758BA94" w14:textId="77777777" w:rsidR="00B95B51" w:rsidRPr="007D6138" w:rsidRDefault="00B95B51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Situación (completar según el texto)</w:t>
            </w:r>
          </w:p>
        </w:tc>
        <w:tc>
          <w:tcPr>
            <w:tcW w:w="2410" w:type="dxa"/>
          </w:tcPr>
          <w:p w14:paraId="31FAA8BE" w14:textId="77777777" w:rsidR="00B95B51" w:rsidRPr="007D6138" w:rsidRDefault="00B95B51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Usuario</w:t>
            </w:r>
          </w:p>
        </w:tc>
        <w:tc>
          <w:tcPr>
            <w:tcW w:w="1617" w:type="dxa"/>
          </w:tcPr>
          <w:p w14:paraId="782846DA" w14:textId="77777777" w:rsidR="00B95B51" w:rsidRPr="007D6138" w:rsidRDefault="00B95B51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Tipo de Usuario</w:t>
            </w:r>
          </w:p>
        </w:tc>
        <w:tc>
          <w:tcPr>
            <w:tcW w:w="2493" w:type="dxa"/>
          </w:tcPr>
          <w:p w14:paraId="3C33247D" w14:textId="77777777" w:rsidR="00B95B51" w:rsidRPr="007D6138" w:rsidRDefault="00B95B51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sz w:val="22"/>
                <w:szCs w:val="22"/>
              </w:rPr>
              <w:t>Justificación</w:t>
            </w:r>
          </w:p>
        </w:tc>
      </w:tr>
      <w:tr w:rsidR="005E4484" w:rsidRPr="007D6138" w14:paraId="491912E5" w14:textId="77777777" w:rsidTr="005E4484">
        <w:tc>
          <w:tcPr>
            <w:tcW w:w="336" w:type="dxa"/>
          </w:tcPr>
          <w:p w14:paraId="0585E3A7" w14:textId="77777777" w:rsidR="005E4484" w:rsidRPr="007D6138" w:rsidRDefault="005E4484" w:rsidP="005E4484">
            <w:pPr>
              <w:jc w:val="both"/>
              <w:rPr>
                <w:rFonts w:ascii="Times New Roman" w:hAnsi="Times New Roman" w:cs="Times New Roman"/>
              </w:rPr>
            </w:pPr>
            <w:r w:rsidRPr="007D61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5" w:type="dxa"/>
          </w:tcPr>
          <w:p w14:paraId="7C7B327D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El gerente de producción solicitó un informe con los costos operativos por unidad, para evaluar la eficiencia de cada planta.</w:t>
            </w:r>
          </w:p>
        </w:tc>
        <w:tc>
          <w:tcPr>
            <w:tcW w:w="2410" w:type="dxa"/>
          </w:tcPr>
          <w:p w14:paraId="1D4CE7CA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4E5F5" w14:textId="77777777" w:rsidR="005E4484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D6BCF8" w14:textId="77777777" w:rsidR="007D6138" w:rsidRPr="007D6138" w:rsidRDefault="007D6138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C758B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Gerente de Producción</w:t>
            </w:r>
          </w:p>
        </w:tc>
        <w:tc>
          <w:tcPr>
            <w:tcW w:w="1617" w:type="dxa"/>
            <w:vAlign w:val="center"/>
          </w:tcPr>
          <w:p w14:paraId="76D654A5" w14:textId="77777777" w:rsidR="005E4484" w:rsidRPr="007D6138" w:rsidRDefault="005E4484" w:rsidP="005E4484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Usuario Interno</w:t>
            </w:r>
          </w:p>
        </w:tc>
        <w:tc>
          <w:tcPr>
            <w:tcW w:w="2493" w:type="dxa"/>
            <w:vAlign w:val="center"/>
          </w:tcPr>
          <w:p w14:paraId="177A4796" w14:textId="77777777" w:rsidR="005E4484" w:rsidRPr="007D6138" w:rsidRDefault="005E4484" w:rsidP="005E4484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Utiliza la información contable para </w:t>
            </w: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tomar decisiones operativas y de gestión</w:t>
            </w:r>
            <w:r w:rsidRPr="007D613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 buscando mejorar la eficiencia y el control de costos dentro de la empresa.</w:t>
            </w:r>
          </w:p>
        </w:tc>
      </w:tr>
      <w:tr w:rsidR="005E4484" w:rsidRPr="007D6138" w14:paraId="3500D938" w14:textId="77777777" w:rsidTr="005E4484">
        <w:tc>
          <w:tcPr>
            <w:tcW w:w="336" w:type="dxa"/>
          </w:tcPr>
          <w:p w14:paraId="61F6A704" w14:textId="77777777" w:rsidR="005E4484" w:rsidRPr="007D6138" w:rsidRDefault="005E4484" w:rsidP="005E4484">
            <w:pPr>
              <w:jc w:val="both"/>
              <w:rPr>
                <w:rFonts w:ascii="Times New Roman" w:hAnsi="Times New Roman" w:cs="Times New Roman"/>
              </w:rPr>
            </w:pPr>
            <w:r w:rsidRPr="007D6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5" w:type="dxa"/>
          </w:tcPr>
          <w:p w14:paraId="4E723DC3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B83E9B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El área de Relaciones Institucionales pidió los principales indicadores financieros para una presentación ante inversores</w:t>
            </w:r>
          </w:p>
        </w:tc>
        <w:tc>
          <w:tcPr>
            <w:tcW w:w="2410" w:type="dxa"/>
            <w:vAlign w:val="center"/>
          </w:tcPr>
          <w:p w14:paraId="2A466ED7" w14:textId="77777777" w:rsidR="005E4484" w:rsidRPr="007D6138" w:rsidRDefault="005E4484" w:rsidP="005E4484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Área de Relaciones Institucionales - Inversores potenciales</w:t>
            </w:r>
          </w:p>
        </w:tc>
        <w:tc>
          <w:tcPr>
            <w:tcW w:w="1617" w:type="dxa"/>
            <w:vAlign w:val="center"/>
          </w:tcPr>
          <w:p w14:paraId="6B170039" w14:textId="77777777" w:rsidR="005E4484" w:rsidRPr="007D6138" w:rsidRDefault="005E4484" w:rsidP="005E4484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Usuario Externo</w:t>
            </w:r>
          </w:p>
        </w:tc>
        <w:tc>
          <w:tcPr>
            <w:tcW w:w="2493" w:type="dxa"/>
            <w:vAlign w:val="center"/>
          </w:tcPr>
          <w:p w14:paraId="6C708DE7" w14:textId="77777777" w:rsidR="005E4484" w:rsidRPr="007D6138" w:rsidRDefault="005E4484" w:rsidP="005E4484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Requieren la información contable </w:t>
            </w: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para evaluar la situación económica y financiera de la empresa</w:t>
            </w:r>
            <w:r w:rsidRPr="007D6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y tomar decisiones de inversión o financiamiento.</w:t>
            </w:r>
          </w:p>
        </w:tc>
      </w:tr>
      <w:tr w:rsidR="005E4484" w:rsidRPr="007D6138" w14:paraId="18D65152" w14:textId="77777777" w:rsidTr="005E4484">
        <w:tc>
          <w:tcPr>
            <w:tcW w:w="336" w:type="dxa"/>
          </w:tcPr>
          <w:p w14:paraId="7C9A0E62" w14:textId="77777777" w:rsidR="005E4484" w:rsidRPr="007D6138" w:rsidRDefault="005E4484" w:rsidP="005E4484">
            <w:pPr>
              <w:jc w:val="both"/>
              <w:rPr>
                <w:rFonts w:ascii="Times New Roman" w:hAnsi="Times New Roman" w:cs="Times New Roman"/>
              </w:rPr>
            </w:pPr>
            <w:r w:rsidRPr="007D61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5" w:type="dxa"/>
          </w:tcPr>
          <w:p w14:paraId="3D26CC06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DD6ED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B0648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El estudio contable externo solicitó acceso a los libros y registros para realizar la auditoría anual.</w:t>
            </w:r>
          </w:p>
        </w:tc>
        <w:tc>
          <w:tcPr>
            <w:tcW w:w="2410" w:type="dxa"/>
          </w:tcPr>
          <w:p w14:paraId="718CDD3B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1021E9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F1BCB0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E08C00" w14:textId="77777777" w:rsidR="005E4484" w:rsidRPr="007D6138" w:rsidRDefault="005E4484" w:rsidP="005E44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Estudio contable externo - Auditores</w:t>
            </w:r>
          </w:p>
        </w:tc>
        <w:tc>
          <w:tcPr>
            <w:tcW w:w="1617" w:type="dxa"/>
            <w:vAlign w:val="center"/>
          </w:tcPr>
          <w:p w14:paraId="06678A3C" w14:textId="77777777" w:rsidR="005E4484" w:rsidRPr="007D6138" w:rsidRDefault="005E4484" w:rsidP="005E4484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Usuario Externo</w:t>
            </w:r>
          </w:p>
        </w:tc>
        <w:tc>
          <w:tcPr>
            <w:tcW w:w="2493" w:type="dxa"/>
            <w:vAlign w:val="center"/>
          </w:tcPr>
          <w:p w14:paraId="4D2ED60B" w14:textId="77777777" w:rsidR="005E4484" w:rsidRPr="007D6138" w:rsidRDefault="005E4484" w:rsidP="005E4484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Usa la información contable </w:t>
            </w: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para verificar la razonabilidad de los estados contables</w:t>
            </w: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, asegurando su cumplimiento con las normas profesionales y legales.</w:t>
            </w:r>
          </w:p>
        </w:tc>
      </w:tr>
    </w:tbl>
    <w:p w14:paraId="70FA6AC9" w14:textId="77777777" w:rsidR="00B95B51" w:rsidRDefault="00B95B51" w:rsidP="00B95B51">
      <w:pPr>
        <w:jc w:val="both"/>
        <w:rPr>
          <w:rFonts w:ascii="Times New Roman" w:hAnsi="Times New Roman" w:cs="Times New Roman"/>
        </w:rPr>
      </w:pPr>
    </w:p>
    <w:p w14:paraId="51DFA378" w14:textId="77777777" w:rsidR="007D6138" w:rsidRPr="007D6138" w:rsidRDefault="007D6138" w:rsidP="00B95B51">
      <w:pPr>
        <w:jc w:val="both"/>
        <w:rPr>
          <w:rFonts w:ascii="Times New Roman" w:hAnsi="Times New Roman" w:cs="Times New Roman"/>
        </w:rPr>
      </w:pPr>
    </w:p>
    <w:p w14:paraId="0B8F1594" w14:textId="77777777" w:rsidR="005E4484" w:rsidRPr="007D6138" w:rsidRDefault="005E4484" w:rsidP="005E4484">
      <w:pPr>
        <w:rPr>
          <w:rFonts w:ascii="Times New Roman" w:hAnsi="Times New Roman" w:cs="Times New Roman"/>
          <w:u w:val="single"/>
        </w:rPr>
      </w:pPr>
      <w:r w:rsidRPr="007D6138">
        <w:rPr>
          <w:rFonts w:ascii="Times New Roman" w:hAnsi="Times New Roman" w:cs="Times New Roman"/>
          <w:u w:val="single"/>
        </w:rPr>
        <w:t xml:space="preserve">2) </w:t>
      </w:r>
      <w:r w:rsidR="007D6138" w:rsidRPr="007D6138">
        <w:rPr>
          <w:rFonts w:ascii="Times New Roman" w:hAnsi="Times New Roman" w:cs="Times New Roman"/>
          <w:u w:val="single"/>
        </w:rPr>
        <w:t xml:space="preserve"> </w:t>
      </w:r>
      <w:r w:rsidRPr="007D6138">
        <w:rPr>
          <w:rFonts w:ascii="Times New Roman" w:hAnsi="Times New Roman" w:cs="Times New Roman"/>
          <w:u w:val="single"/>
        </w:rPr>
        <w:t>Identificar con que norma contable se relaciona cada punto</w:t>
      </w:r>
    </w:p>
    <w:p w14:paraId="0B3B8039" w14:textId="77777777" w:rsidR="005E4484" w:rsidRPr="007D6138" w:rsidRDefault="005E4484" w:rsidP="005E4484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>· Los errores contables deben informarse al supervisor antes de corregirlos</w:t>
      </w:r>
    </w:p>
    <w:p w14:paraId="04B2B9B1" w14:textId="77777777" w:rsidR="005E4484" w:rsidRPr="007D6138" w:rsidRDefault="005E4484" w:rsidP="005E4484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>· L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libr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deben estar rubricad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en una s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ciedad c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mercial</w:t>
      </w:r>
    </w:p>
    <w:p w14:paraId="578A6A81" w14:textId="77777777" w:rsidR="005E4484" w:rsidRPr="007D6138" w:rsidRDefault="005E4484" w:rsidP="005E4484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>· Aplicaci</w:t>
      </w:r>
      <w:r w:rsidR="00E9208E" w:rsidRPr="007D6138">
        <w:rPr>
          <w:rFonts w:ascii="Times New Roman" w:hAnsi="Times New Roman" w:cs="Times New Roman"/>
        </w:rPr>
        <w:t>ó</w:t>
      </w:r>
      <w:r w:rsidRPr="007D6138">
        <w:rPr>
          <w:rFonts w:ascii="Times New Roman" w:hAnsi="Times New Roman" w:cs="Times New Roman"/>
        </w:rPr>
        <w:t>n del criteri</w:t>
      </w:r>
      <w:r w:rsidR="00E9208E" w:rsidRPr="007D6138">
        <w:rPr>
          <w:rFonts w:ascii="Times New Roman" w:hAnsi="Times New Roman" w:cs="Times New Roman"/>
        </w:rPr>
        <w:t>o de lo devengado</w:t>
      </w:r>
    </w:p>
    <w:p w14:paraId="7424C155" w14:textId="77777777" w:rsidR="005E4484" w:rsidRPr="007D6138" w:rsidRDefault="005E4484" w:rsidP="005E4484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>· C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nservaci</w:t>
      </w:r>
      <w:r w:rsidR="00E9208E" w:rsidRPr="007D6138">
        <w:rPr>
          <w:rFonts w:ascii="Times New Roman" w:hAnsi="Times New Roman" w:cs="Times New Roman"/>
        </w:rPr>
        <w:t>ó</w:t>
      </w:r>
      <w:r w:rsidRPr="007D6138">
        <w:rPr>
          <w:rFonts w:ascii="Times New Roman" w:hAnsi="Times New Roman" w:cs="Times New Roman"/>
        </w:rPr>
        <w:t>n y f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rmalidad de l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registr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c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ntables</w:t>
      </w:r>
    </w:p>
    <w:p w14:paraId="4119DE5A" w14:textId="77777777" w:rsidR="005E4484" w:rsidRPr="007D6138" w:rsidRDefault="005E4484" w:rsidP="005E4484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>· Omisi</w:t>
      </w:r>
      <w:r w:rsidR="00E9208E" w:rsidRPr="007D6138">
        <w:rPr>
          <w:rFonts w:ascii="Times New Roman" w:hAnsi="Times New Roman" w:cs="Times New Roman"/>
        </w:rPr>
        <w:t>ó</w:t>
      </w:r>
      <w:r w:rsidRPr="007D6138">
        <w:rPr>
          <w:rFonts w:ascii="Times New Roman" w:hAnsi="Times New Roman" w:cs="Times New Roman"/>
        </w:rPr>
        <w:t>n malici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sa de ingres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s en la c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ntabilidad</w:t>
      </w:r>
    </w:p>
    <w:p w14:paraId="187401EF" w14:textId="77777777" w:rsidR="00A6228A" w:rsidRPr="007D6138" w:rsidRDefault="005E4484" w:rsidP="005E4484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</w:rPr>
        <w:t>· Se pr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h</w:t>
      </w:r>
      <w:r w:rsidR="00E9208E" w:rsidRPr="007D6138">
        <w:rPr>
          <w:rFonts w:ascii="Times New Roman" w:hAnsi="Times New Roman" w:cs="Times New Roman"/>
        </w:rPr>
        <w:t>í</w:t>
      </w:r>
      <w:r w:rsidRPr="007D6138">
        <w:rPr>
          <w:rFonts w:ascii="Times New Roman" w:hAnsi="Times New Roman" w:cs="Times New Roman"/>
        </w:rPr>
        <w:t>be el us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 xml:space="preserve"> de redes s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ciales durante el h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rari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 xml:space="preserve"> lab</w:t>
      </w:r>
      <w:r w:rsidR="00E9208E" w:rsidRPr="007D6138">
        <w:rPr>
          <w:rFonts w:ascii="Times New Roman" w:hAnsi="Times New Roman" w:cs="Times New Roman"/>
        </w:rPr>
        <w:t>o</w:t>
      </w:r>
      <w:r w:rsidRPr="007D6138">
        <w:rPr>
          <w:rFonts w:ascii="Times New Roman" w:hAnsi="Times New Roman" w:cs="Times New Roman"/>
        </w:rPr>
        <w:t>ral</w:t>
      </w:r>
    </w:p>
    <w:p w14:paraId="357ADC22" w14:textId="77777777" w:rsidR="00A6228A" w:rsidRDefault="00A6228A">
      <w:pPr>
        <w:rPr>
          <w:rFonts w:ascii="Times New Roman" w:hAnsi="Times New Roman" w:cs="Times New Roman"/>
        </w:rPr>
      </w:pPr>
    </w:p>
    <w:p w14:paraId="455BC191" w14:textId="77777777" w:rsidR="007D6138" w:rsidRDefault="007D6138">
      <w:pPr>
        <w:rPr>
          <w:rFonts w:ascii="Times New Roman" w:hAnsi="Times New Roman" w:cs="Times New Roman"/>
        </w:rPr>
      </w:pPr>
    </w:p>
    <w:p w14:paraId="6C1DC0DF" w14:textId="77777777" w:rsidR="007D6138" w:rsidRDefault="007D6138">
      <w:pPr>
        <w:rPr>
          <w:rFonts w:ascii="Times New Roman" w:hAnsi="Times New Roman" w:cs="Times New Roman"/>
        </w:rPr>
      </w:pPr>
    </w:p>
    <w:p w14:paraId="4C7D2C1D" w14:textId="77777777" w:rsidR="007D6138" w:rsidRPr="007D6138" w:rsidRDefault="007D6138">
      <w:pPr>
        <w:rPr>
          <w:rFonts w:ascii="Times New Roman" w:hAnsi="Times New Roman" w:cs="Times New Roman"/>
        </w:rPr>
      </w:pPr>
    </w:p>
    <w:p w14:paraId="79122D2C" w14:textId="77777777" w:rsidR="00A6228A" w:rsidRPr="007D6138" w:rsidRDefault="00A6228A">
      <w:pPr>
        <w:rPr>
          <w:rFonts w:ascii="Times New Roman" w:hAnsi="Times New Roman" w:cs="Times New Roman"/>
        </w:rPr>
      </w:pPr>
    </w:p>
    <w:tbl>
      <w:tblPr>
        <w:tblStyle w:val="Tablaconcuadrcula"/>
        <w:tblW w:w="10485" w:type="dxa"/>
        <w:tblLayout w:type="fixed"/>
        <w:tblLook w:val="0000" w:firstRow="0" w:lastRow="0" w:firstColumn="0" w:lastColumn="0" w:noHBand="0" w:noVBand="0"/>
      </w:tblPr>
      <w:tblGrid>
        <w:gridCol w:w="2332"/>
        <w:gridCol w:w="3050"/>
        <w:gridCol w:w="1417"/>
        <w:gridCol w:w="3686"/>
      </w:tblGrid>
      <w:tr w:rsidR="00A6228A" w:rsidRPr="007D6138" w14:paraId="32B3D5DC" w14:textId="77777777" w:rsidTr="00100A3E">
        <w:tc>
          <w:tcPr>
            <w:tcW w:w="2332" w:type="dxa"/>
          </w:tcPr>
          <w:p w14:paraId="495BEC9E" w14:textId="77777777" w:rsidR="00A6228A" w:rsidRPr="007D6138" w:rsidRDefault="007D6138">
            <w:pPr>
              <w:pStyle w:val="Ttulodelatabla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/>
                <w:sz w:val="22"/>
                <w:szCs w:val="22"/>
              </w:rPr>
              <w:t>Situación</w:t>
            </w:r>
          </w:p>
        </w:tc>
        <w:tc>
          <w:tcPr>
            <w:tcW w:w="3050" w:type="dxa"/>
          </w:tcPr>
          <w:p w14:paraId="66913825" w14:textId="77777777" w:rsidR="00A6228A" w:rsidRPr="007D6138" w:rsidRDefault="007D6138">
            <w:pPr>
              <w:pStyle w:val="Ttulodelatabla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/>
                <w:sz w:val="22"/>
                <w:szCs w:val="22"/>
              </w:rPr>
              <w:t>Norma contable relacionada</w:t>
            </w:r>
          </w:p>
        </w:tc>
        <w:tc>
          <w:tcPr>
            <w:tcW w:w="1417" w:type="dxa"/>
          </w:tcPr>
          <w:p w14:paraId="6C23DFF8" w14:textId="77777777" w:rsidR="00A6228A" w:rsidRPr="007D6138" w:rsidRDefault="007D6138">
            <w:pPr>
              <w:pStyle w:val="Ttulodelatabla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/>
                <w:sz w:val="22"/>
                <w:szCs w:val="22"/>
              </w:rPr>
              <w:t>Tipo de norma</w:t>
            </w:r>
          </w:p>
        </w:tc>
        <w:tc>
          <w:tcPr>
            <w:tcW w:w="3686" w:type="dxa"/>
          </w:tcPr>
          <w:p w14:paraId="375428F3" w14:textId="77777777" w:rsidR="00A6228A" w:rsidRPr="007D6138" w:rsidRDefault="007D6138">
            <w:pPr>
              <w:pStyle w:val="Ttulodelatabla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/>
                <w:sz w:val="22"/>
                <w:szCs w:val="22"/>
              </w:rPr>
              <w:t>Explicación</w:t>
            </w:r>
          </w:p>
        </w:tc>
      </w:tr>
      <w:tr w:rsidR="000B3BD2" w:rsidRPr="007D6138" w14:paraId="7607EE9D" w14:textId="77777777" w:rsidTr="00100A3E">
        <w:tc>
          <w:tcPr>
            <w:tcW w:w="2332" w:type="dxa"/>
          </w:tcPr>
          <w:p w14:paraId="38201BC2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Los errores contables deben informarse al supervisor antes de corregirlos.</w:t>
            </w:r>
          </w:p>
        </w:tc>
        <w:tc>
          <w:tcPr>
            <w:tcW w:w="3050" w:type="dxa"/>
          </w:tcPr>
          <w:p w14:paraId="42D5BC37" w14:textId="77777777" w:rsidR="000B3BD2" w:rsidRPr="000B3BD2" w:rsidRDefault="000B3BD2" w:rsidP="007D61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</w:pPr>
            <w:r w:rsidRPr="000B3BD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  <w:t>Resolución Técnica Nº 59 “Normas Contables Profesionales: Norma Unificada Argentina de Contabilidad (Aclaraciones previas a la implementación de la RT 54)” (</w:t>
            </w:r>
            <w:hyperlink r:id="rId4" w:tooltip="[PDF] Resolución Técnica N° 59 NORMAS CONTABLES PROFESIONALES" w:history="1">
              <w:r w:rsidRPr="007D6138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AR" w:bidi="ar-SA"/>
                </w:rPr>
                <w:t>FACPCE</w:t>
              </w:r>
            </w:hyperlink>
            <w:r w:rsidRPr="000B3BD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  <w:t>)</w:t>
            </w:r>
          </w:p>
        </w:tc>
        <w:tc>
          <w:tcPr>
            <w:tcW w:w="1417" w:type="dxa"/>
          </w:tcPr>
          <w:p w14:paraId="1CA2628C" w14:textId="77777777" w:rsidR="000B3BD2" w:rsidRPr="000B3BD2" w:rsidRDefault="000B3BD2" w:rsidP="007D61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</w:pPr>
            <w:r w:rsidRPr="007D61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  <w:t>Profesional</w:t>
            </w:r>
          </w:p>
        </w:tc>
        <w:tc>
          <w:tcPr>
            <w:tcW w:w="3686" w:type="dxa"/>
          </w:tcPr>
          <w:p w14:paraId="1CAB6329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BD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  <w:t>La RT 59 remite al marco general unificado de contabilidad en Argentina, que exige transparencia, registro adecuado y trazabilidad de errores.</w:t>
            </w:r>
          </w:p>
        </w:tc>
      </w:tr>
      <w:tr w:rsidR="000B3BD2" w:rsidRPr="007D6138" w14:paraId="6257BFF5" w14:textId="77777777" w:rsidTr="00100A3E">
        <w:tc>
          <w:tcPr>
            <w:tcW w:w="2332" w:type="dxa"/>
          </w:tcPr>
          <w:p w14:paraId="2959EB42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Los libros deben estar rubricados en una sociedad comercial.</w:t>
            </w:r>
          </w:p>
        </w:tc>
        <w:tc>
          <w:tcPr>
            <w:tcW w:w="3050" w:type="dxa"/>
          </w:tcPr>
          <w:p w14:paraId="79A2FDF1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Ley de Sociedades Comerciales N° 26.994 (Código Civil y Comercial)</w:t>
            </w:r>
          </w:p>
        </w:tc>
        <w:tc>
          <w:tcPr>
            <w:tcW w:w="1417" w:type="dxa"/>
          </w:tcPr>
          <w:p w14:paraId="7CF504E0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Legal</w:t>
            </w:r>
          </w:p>
        </w:tc>
        <w:tc>
          <w:tcPr>
            <w:tcW w:w="3686" w:type="dxa"/>
          </w:tcPr>
          <w:p w14:paraId="5EC90F2B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Dispone la </w:t>
            </w: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obligación legal</w:t>
            </w: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 de rubricar los libros contables ante el Registro Público de Comercio.</w:t>
            </w:r>
          </w:p>
        </w:tc>
      </w:tr>
      <w:tr w:rsidR="000B3BD2" w:rsidRPr="007D6138" w14:paraId="7D22B98B" w14:textId="77777777" w:rsidTr="00100A3E">
        <w:tc>
          <w:tcPr>
            <w:tcW w:w="2332" w:type="dxa"/>
          </w:tcPr>
          <w:p w14:paraId="5B6C03F3" w14:textId="77777777" w:rsidR="00100A3E" w:rsidRPr="007D6138" w:rsidRDefault="00100A3E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07B56" w14:textId="77777777" w:rsidR="00100A3E" w:rsidRPr="007D6138" w:rsidRDefault="00100A3E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867F7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Aplicación del criterio de lo devengado.</w:t>
            </w:r>
          </w:p>
        </w:tc>
        <w:tc>
          <w:tcPr>
            <w:tcW w:w="3050" w:type="dxa"/>
          </w:tcPr>
          <w:p w14:paraId="55E91A6A" w14:textId="77777777" w:rsidR="000B3BD2" w:rsidRPr="007D6138" w:rsidRDefault="00784744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RT 16 – Marco Conceptual de las Normas Contables Profesionales</w:t>
            </w: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D6138">
              <w:rPr>
                <w:rStyle w:val="nfasis"/>
                <w:rFonts w:ascii="Times New Roman" w:hAnsi="Times New Roman" w:cs="Times New Roman"/>
                <w:sz w:val="22"/>
                <w:szCs w:val="22"/>
              </w:rPr>
              <w:t>(complementada por RT 54 y RT 59 – Norma Unificada Argentina de Contabilidad)</w:t>
            </w:r>
          </w:p>
        </w:tc>
        <w:tc>
          <w:tcPr>
            <w:tcW w:w="1417" w:type="dxa"/>
          </w:tcPr>
          <w:p w14:paraId="6AA72A60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Profesional</w:t>
            </w:r>
          </w:p>
        </w:tc>
        <w:tc>
          <w:tcPr>
            <w:tcW w:w="3686" w:type="dxa"/>
          </w:tcPr>
          <w:p w14:paraId="2A1184DC" w14:textId="77777777" w:rsidR="000B3BD2" w:rsidRPr="007D6138" w:rsidRDefault="00784744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El criterio de lo devengado establece que los hechos económicos se reconocen cuando ocurren, y no cuando se cobra o paga el efectivo. La RT 59 mantiene este principio dentro del nuevo marco unificado de contabilidad.</w:t>
            </w:r>
          </w:p>
        </w:tc>
      </w:tr>
      <w:tr w:rsidR="000B3BD2" w:rsidRPr="007D6138" w14:paraId="1781F510" w14:textId="77777777" w:rsidTr="00100A3E">
        <w:tc>
          <w:tcPr>
            <w:tcW w:w="2332" w:type="dxa"/>
          </w:tcPr>
          <w:p w14:paraId="38351098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Conservación y formalidad de los registros contables.</w:t>
            </w:r>
          </w:p>
        </w:tc>
        <w:tc>
          <w:tcPr>
            <w:tcW w:w="3050" w:type="dxa"/>
          </w:tcPr>
          <w:p w14:paraId="66CA5DE0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Ley de Sociedades Comerciales N° 26.994 y RT 8 (Normas sobre exposición contable)</w:t>
            </w:r>
            <w:r w:rsidR="00784744" w:rsidRPr="007D6138">
              <w:rPr>
                <w:rStyle w:val="nfasis"/>
                <w:rFonts w:ascii="Times New Roman" w:hAnsi="Times New Roman" w:cs="Times New Roman"/>
                <w:sz w:val="22"/>
                <w:szCs w:val="22"/>
              </w:rPr>
              <w:t xml:space="preserve"> (complementada por RT 54 y RT 59 – Norma Unificada Argentina de Contabilidad)</w:t>
            </w:r>
          </w:p>
        </w:tc>
        <w:tc>
          <w:tcPr>
            <w:tcW w:w="1417" w:type="dxa"/>
          </w:tcPr>
          <w:p w14:paraId="7C803F3A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Legal y Profesional</w:t>
            </w:r>
          </w:p>
        </w:tc>
        <w:tc>
          <w:tcPr>
            <w:tcW w:w="3686" w:type="dxa"/>
          </w:tcPr>
          <w:p w14:paraId="5F0680A4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Regulan la </w:t>
            </w: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forma, orden y conservación</w:t>
            </w:r>
            <w:r w:rsidRPr="007D6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de los libros y registros contables como respaldo de la información financiera.</w:t>
            </w:r>
            <w:r w:rsidR="00784744"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784744" w:rsidRPr="000B3BD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  <w:t>La RT 54 y sus modificaciones establecen obligaciones de registro, conservación, integridad y formalidad de los estados y libros contables.</w:t>
            </w:r>
          </w:p>
        </w:tc>
      </w:tr>
      <w:tr w:rsidR="000B3BD2" w:rsidRPr="007D6138" w14:paraId="5BBE6769" w14:textId="77777777" w:rsidTr="00100A3E">
        <w:tc>
          <w:tcPr>
            <w:tcW w:w="2332" w:type="dxa"/>
          </w:tcPr>
          <w:p w14:paraId="6FA32659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Omisión maliciosa de ingresos en la contabilidad.</w:t>
            </w:r>
          </w:p>
        </w:tc>
        <w:tc>
          <w:tcPr>
            <w:tcW w:w="3050" w:type="dxa"/>
          </w:tcPr>
          <w:p w14:paraId="610325BB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Código Penal Argentino y normas éticas profesionales (RT 37 – Ética profesional)</w:t>
            </w:r>
          </w:p>
        </w:tc>
        <w:tc>
          <w:tcPr>
            <w:tcW w:w="1417" w:type="dxa"/>
          </w:tcPr>
          <w:p w14:paraId="50CB6B72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Legal y Profesional</w:t>
            </w:r>
          </w:p>
        </w:tc>
        <w:tc>
          <w:tcPr>
            <w:tcW w:w="3686" w:type="dxa"/>
          </w:tcPr>
          <w:p w14:paraId="26E5DF90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Constituye una </w:t>
            </w: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falta ética y delito</w:t>
            </w: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 por falsear información contable o evadir obligaciones fiscales.</w:t>
            </w:r>
          </w:p>
        </w:tc>
      </w:tr>
      <w:tr w:rsidR="000B3BD2" w:rsidRPr="007D6138" w14:paraId="5A04AE9A" w14:textId="77777777" w:rsidTr="00100A3E">
        <w:tc>
          <w:tcPr>
            <w:tcW w:w="2332" w:type="dxa"/>
          </w:tcPr>
          <w:p w14:paraId="329207A7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Se prohíbe el uso de redes sociales durante el horario laboral.</w:t>
            </w:r>
          </w:p>
        </w:tc>
        <w:tc>
          <w:tcPr>
            <w:tcW w:w="3050" w:type="dxa"/>
          </w:tcPr>
          <w:p w14:paraId="273C69B6" w14:textId="77777777" w:rsidR="00100A3E" w:rsidRPr="007D6138" w:rsidRDefault="00100A3E" w:rsidP="007D6138">
            <w:pPr>
              <w:pStyle w:val="Contenidodelatabla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</w:pPr>
            <w:r w:rsidRPr="000B3BD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  <w:t>Ley de Contrato de Trabajo – Ley Nº 20.744 (arts. 84 y 86)</w:t>
            </w:r>
          </w:p>
          <w:p w14:paraId="53B02F00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Reglamento interno del ente (norma propia del ente)</w:t>
            </w:r>
          </w:p>
        </w:tc>
        <w:tc>
          <w:tcPr>
            <w:tcW w:w="1417" w:type="dxa"/>
          </w:tcPr>
          <w:p w14:paraId="29080292" w14:textId="77777777" w:rsidR="000B3BD2" w:rsidRPr="007D6138" w:rsidRDefault="00100A3E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Legal/ Interna -p</w:t>
            </w:r>
            <w:r w:rsidR="000B3BD2" w:rsidRPr="007D6138">
              <w:rPr>
                <w:rFonts w:ascii="Times New Roman" w:hAnsi="Times New Roman" w:cs="Times New Roman"/>
                <w:sz w:val="22"/>
                <w:szCs w:val="22"/>
              </w:rPr>
              <w:t>ropia del ente</w:t>
            </w:r>
          </w:p>
        </w:tc>
        <w:tc>
          <w:tcPr>
            <w:tcW w:w="3686" w:type="dxa"/>
          </w:tcPr>
          <w:p w14:paraId="33576046" w14:textId="77777777" w:rsidR="00100A3E" w:rsidRPr="007D6138" w:rsidRDefault="00100A3E" w:rsidP="007D6138">
            <w:pPr>
              <w:pStyle w:val="Contenidodelatabla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</w:pPr>
            <w:r w:rsidRPr="000B3BD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AR" w:bidi="ar-SA"/>
              </w:rPr>
              <w:t>La LCT regula derechos y deberes del trabajador, incluyendo obediencia, diligencia y cumplimiento de normas internas del empleador.</w:t>
            </w:r>
          </w:p>
          <w:p w14:paraId="3A1530FA" w14:textId="77777777" w:rsidR="000B3BD2" w:rsidRPr="007D6138" w:rsidRDefault="000B3BD2" w:rsidP="007D6138">
            <w:pPr>
              <w:pStyle w:val="Contenidodelatab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 xml:space="preserve">No es una norma contable, sino una </w:t>
            </w:r>
            <w:r w:rsidRPr="007D6138">
              <w:rPr>
                <w:rStyle w:val="Textoennegrita"/>
                <w:rFonts w:ascii="Times New Roman" w:hAnsi="Times New Roman" w:cs="Times New Roman"/>
                <w:b w:val="0"/>
                <w:sz w:val="22"/>
                <w:szCs w:val="22"/>
              </w:rPr>
              <w:t>norma interna de conducta laboral</w:t>
            </w:r>
            <w:r w:rsidRPr="007D6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D6138">
              <w:rPr>
                <w:rFonts w:ascii="Times New Roman" w:hAnsi="Times New Roman" w:cs="Times New Roman"/>
                <w:sz w:val="22"/>
                <w:szCs w:val="22"/>
              </w:rPr>
              <w:t>establecida por la empresa.</w:t>
            </w:r>
          </w:p>
        </w:tc>
      </w:tr>
    </w:tbl>
    <w:p w14:paraId="00AB243D" w14:textId="77777777" w:rsidR="00A6228A" w:rsidRPr="007D6138" w:rsidRDefault="00A6228A">
      <w:pPr>
        <w:rPr>
          <w:rFonts w:ascii="Times New Roman" w:hAnsi="Times New Roman" w:cs="Times New Roman"/>
        </w:rPr>
      </w:pPr>
    </w:p>
    <w:p w14:paraId="4099E6EA" w14:textId="77777777" w:rsidR="00A6228A" w:rsidRPr="007D6138" w:rsidRDefault="00A6228A">
      <w:pPr>
        <w:rPr>
          <w:rFonts w:ascii="Times New Roman" w:hAnsi="Times New Roman" w:cs="Times New Roman"/>
        </w:rPr>
      </w:pPr>
    </w:p>
    <w:p w14:paraId="6B3C8608" w14:textId="77777777" w:rsidR="00A6228A" w:rsidRPr="007D6138" w:rsidRDefault="007D6138">
      <w:pPr>
        <w:rPr>
          <w:rFonts w:ascii="Times New Roman" w:hAnsi="Times New Roman" w:cs="Times New Roman"/>
          <w:u w:val="single"/>
        </w:rPr>
      </w:pPr>
      <w:r w:rsidRPr="007D6138">
        <w:rPr>
          <w:rFonts w:ascii="Times New Roman" w:hAnsi="Times New Roman" w:cs="Times New Roman"/>
          <w:u w:val="single"/>
        </w:rPr>
        <w:t>3</w:t>
      </w:r>
      <w:r w:rsidR="00100A3E" w:rsidRPr="007D6138">
        <w:rPr>
          <w:rFonts w:ascii="Times New Roman" w:hAnsi="Times New Roman" w:cs="Times New Roman"/>
          <w:u w:val="single"/>
        </w:rPr>
        <w:t>) Clasificar las siguientes cuentas e indicar a que rubro pertenecen: PROVEEDORES- RODADOS</w:t>
      </w:r>
    </w:p>
    <w:p w14:paraId="0BEEE336" w14:textId="77777777" w:rsidR="00100A3E" w:rsidRPr="007D6138" w:rsidRDefault="00100A3E">
      <w:pPr>
        <w:rPr>
          <w:rFonts w:ascii="Times New Roman" w:hAnsi="Times New Roman" w:cs="Times New Roman"/>
        </w:rPr>
      </w:pPr>
    </w:p>
    <w:p w14:paraId="668F3D4C" w14:textId="77777777" w:rsidR="00100A3E" w:rsidRPr="007D6138" w:rsidRDefault="00100A3E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  <w:b/>
          <w:u w:val="single"/>
        </w:rPr>
        <w:t>PROVEEDORES:</w:t>
      </w:r>
      <w:r w:rsidRPr="007D6138">
        <w:rPr>
          <w:rFonts w:ascii="Times New Roman" w:hAnsi="Times New Roman" w:cs="Times New Roman"/>
        </w:rPr>
        <w:t xml:space="preserve"> cuenta de pasivo, naturaleza acreedora – pasivo corriente</w:t>
      </w:r>
    </w:p>
    <w:p w14:paraId="202F6CAB" w14:textId="77777777" w:rsidR="00100A3E" w:rsidRPr="007D6138" w:rsidRDefault="00100A3E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  <w:b/>
          <w:u w:val="single"/>
        </w:rPr>
        <w:t>RODADOS</w:t>
      </w:r>
      <w:r w:rsidRPr="007D6138">
        <w:rPr>
          <w:rFonts w:ascii="Times New Roman" w:hAnsi="Times New Roman" w:cs="Times New Roman"/>
        </w:rPr>
        <w:t>: cuenta de activo, naturaleza deudora- activo no corriente</w:t>
      </w:r>
    </w:p>
    <w:p w14:paraId="5668B0B7" w14:textId="77777777" w:rsidR="00A6228A" w:rsidRPr="007D6138" w:rsidRDefault="00A6228A">
      <w:pPr>
        <w:rPr>
          <w:rFonts w:ascii="Times New Roman" w:hAnsi="Times New Roman" w:cs="Times New Roman"/>
        </w:rPr>
      </w:pPr>
    </w:p>
    <w:p w14:paraId="09503918" w14:textId="77777777" w:rsidR="007D6138" w:rsidRPr="007D6138" w:rsidRDefault="007D6138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  <w:u w:val="single"/>
        </w:rPr>
        <w:t>4) Proceso de emisión de una norma contable en nuestro país</w:t>
      </w:r>
      <w:r w:rsidRPr="007D6138">
        <w:rPr>
          <w:rFonts w:ascii="Times New Roman" w:hAnsi="Times New Roman" w:cs="Times New Roman"/>
          <w:u w:val="single"/>
        </w:rPr>
        <w:br/>
      </w:r>
      <w:r w:rsidRPr="007D6138">
        <w:rPr>
          <w:rFonts w:ascii="Times New Roman" w:hAnsi="Times New Roman" w:cs="Times New Roman"/>
        </w:rPr>
        <w:br/>
        <w:t xml:space="preserve">El proceso de emisión de una norma contable en Argentina se desarrolla dentro de la F.A.C.P.C.E. a través del </w:t>
      </w:r>
      <w:proofErr w:type="spellStart"/>
      <w:r w:rsidRPr="007D6138">
        <w:rPr>
          <w:rFonts w:ascii="Times New Roman" w:hAnsi="Times New Roman" w:cs="Times New Roman"/>
        </w:rPr>
        <w:t>C.E.C.y.T</w:t>
      </w:r>
      <w:proofErr w:type="spellEnd"/>
      <w:r w:rsidRPr="007D6138">
        <w:rPr>
          <w:rFonts w:ascii="Times New Roman" w:hAnsi="Times New Roman" w:cs="Times New Roman"/>
        </w:rPr>
        <w:t>. (Centro de Estudios Científicos y Técnicos).</w:t>
      </w:r>
      <w:r w:rsidRPr="007D6138">
        <w:rPr>
          <w:rFonts w:ascii="Times New Roman" w:hAnsi="Times New Roman" w:cs="Times New Roman"/>
        </w:rPr>
        <w:br/>
      </w:r>
    </w:p>
    <w:p w14:paraId="65AB14AD" w14:textId="77777777" w:rsidR="000B3BD2" w:rsidRPr="007D6138" w:rsidRDefault="007D6138">
      <w:pPr>
        <w:rPr>
          <w:rFonts w:ascii="Times New Roman" w:hAnsi="Times New Roman" w:cs="Times New Roman"/>
        </w:rPr>
      </w:pPr>
      <w:r w:rsidRPr="007D6138">
        <w:rPr>
          <w:rFonts w:ascii="Times New Roman" w:hAnsi="Times New Roman" w:cs="Times New Roman"/>
          <w:b/>
          <w:u w:val="single"/>
        </w:rPr>
        <w:t>Procedimiento</w:t>
      </w:r>
      <w:r w:rsidRPr="007D6138">
        <w:rPr>
          <w:rFonts w:ascii="Times New Roman" w:hAnsi="Times New Roman" w:cs="Times New Roman"/>
        </w:rPr>
        <w:br/>
        <w:t>-</w:t>
      </w:r>
      <w:r w:rsidRPr="007D6138">
        <w:rPr>
          <w:rFonts w:ascii="Times New Roman" w:hAnsi="Times New Roman" w:cs="Times New Roman"/>
          <w:i/>
        </w:rPr>
        <w:t>Investigación y análisis técnico:</w:t>
      </w:r>
      <w:r w:rsidRPr="007D6138">
        <w:rPr>
          <w:rFonts w:ascii="Times New Roman" w:hAnsi="Times New Roman" w:cs="Times New Roman"/>
        </w:rPr>
        <w:t xml:space="preserve"> El CECyT estudia la necesidad de una nueva norma o la modificación de una existente.</w:t>
      </w:r>
      <w:r w:rsidRPr="007D6138">
        <w:rPr>
          <w:rFonts w:ascii="Times New Roman" w:hAnsi="Times New Roman" w:cs="Times New Roman"/>
        </w:rPr>
        <w:br/>
      </w:r>
      <w:r w:rsidRPr="007D6138">
        <w:rPr>
          <w:rFonts w:ascii="Times New Roman" w:hAnsi="Times New Roman" w:cs="Times New Roman"/>
        </w:rPr>
        <w:br/>
        <w:t>-</w:t>
      </w:r>
      <w:r w:rsidRPr="007D6138">
        <w:rPr>
          <w:rFonts w:ascii="Times New Roman" w:hAnsi="Times New Roman" w:cs="Times New Roman"/>
          <w:i/>
        </w:rPr>
        <w:t>Elaboración del proyecto:</w:t>
      </w:r>
      <w:r w:rsidRPr="007D6138">
        <w:rPr>
          <w:rFonts w:ascii="Times New Roman" w:hAnsi="Times New Roman" w:cs="Times New Roman"/>
        </w:rPr>
        <w:t xml:space="preserve"> Se redacta un proyecto de Resolución Técnica (RT) con la propuesta normativa.</w:t>
      </w:r>
      <w:r w:rsidRPr="007D6138">
        <w:rPr>
          <w:rFonts w:ascii="Times New Roman" w:hAnsi="Times New Roman" w:cs="Times New Roman"/>
        </w:rPr>
        <w:br/>
      </w:r>
      <w:r w:rsidRPr="007D6138">
        <w:rPr>
          <w:rFonts w:ascii="Times New Roman" w:hAnsi="Times New Roman" w:cs="Times New Roman"/>
        </w:rPr>
        <w:lastRenderedPageBreak/>
        <w:br/>
        <w:t>-</w:t>
      </w:r>
      <w:r w:rsidRPr="007D6138">
        <w:rPr>
          <w:rFonts w:ascii="Times New Roman" w:hAnsi="Times New Roman" w:cs="Times New Roman"/>
          <w:i/>
        </w:rPr>
        <w:t>Consulta pública:</w:t>
      </w:r>
      <w:r w:rsidRPr="007D6138">
        <w:rPr>
          <w:rFonts w:ascii="Times New Roman" w:hAnsi="Times New Roman" w:cs="Times New Roman"/>
        </w:rPr>
        <w:t xml:space="preserve"> El proyecto se envía a los Consejos Profesionales de Ciencias Económicas de todo el país para recibir opiniones y sugerencias.</w:t>
      </w:r>
      <w:r w:rsidRPr="007D6138">
        <w:rPr>
          <w:rFonts w:ascii="Times New Roman" w:hAnsi="Times New Roman" w:cs="Times New Roman"/>
        </w:rPr>
        <w:br/>
      </w:r>
      <w:r w:rsidRPr="007D6138">
        <w:rPr>
          <w:rFonts w:ascii="Times New Roman" w:hAnsi="Times New Roman" w:cs="Times New Roman"/>
        </w:rPr>
        <w:br/>
      </w:r>
      <w:r w:rsidRPr="007D6138">
        <w:rPr>
          <w:rFonts w:ascii="Times New Roman" w:hAnsi="Times New Roman" w:cs="Times New Roman"/>
          <w:i/>
        </w:rPr>
        <w:t>-Aprobación:</w:t>
      </w:r>
      <w:r w:rsidRPr="007D6138">
        <w:rPr>
          <w:rFonts w:ascii="Times New Roman" w:hAnsi="Times New Roman" w:cs="Times New Roman"/>
        </w:rPr>
        <w:t xml:space="preserve"> Tras analizar los aportes recibidos, la Junta de Gobierno de la FACPCE aprueba la norma.</w:t>
      </w:r>
      <w:r w:rsidRPr="007D6138">
        <w:rPr>
          <w:rFonts w:ascii="Times New Roman" w:hAnsi="Times New Roman" w:cs="Times New Roman"/>
        </w:rPr>
        <w:br/>
      </w:r>
      <w:r w:rsidRPr="007D6138">
        <w:rPr>
          <w:rFonts w:ascii="Times New Roman" w:hAnsi="Times New Roman" w:cs="Times New Roman"/>
        </w:rPr>
        <w:br/>
      </w:r>
      <w:r w:rsidRPr="007D6138">
        <w:rPr>
          <w:rFonts w:ascii="Times New Roman" w:hAnsi="Times New Roman" w:cs="Times New Roman"/>
          <w:i/>
        </w:rPr>
        <w:t>-Adopción provincial:</w:t>
      </w:r>
      <w:r w:rsidRPr="007D6138">
        <w:rPr>
          <w:rFonts w:ascii="Times New Roman" w:hAnsi="Times New Roman" w:cs="Times New Roman"/>
        </w:rPr>
        <w:t xml:space="preserve"> Cada Consejo Profesional jurisdiccional adopta la resolución para que tenga vigencia obligatoria en su ámbito territorial.</w:t>
      </w:r>
    </w:p>
    <w:p w14:paraId="6F450B35" w14:textId="77777777" w:rsidR="000B3BD2" w:rsidRPr="000B3BD2" w:rsidRDefault="000B3BD2" w:rsidP="000B3BD2">
      <w:pPr>
        <w:rPr>
          <w:rFonts w:hint="eastAsia"/>
        </w:rPr>
      </w:pPr>
    </w:p>
    <w:p w14:paraId="46CBF2B4" w14:textId="77777777" w:rsidR="000B3BD2" w:rsidRPr="000B3BD2" w:rsidRDefault="000B3BD2" w:rsidP="000B3BD2">
      <w:pPr>
        <w:rPr>
          <w:rFonts w:hint="eastAsia"/>
        </w:rPr>
      </w:pPr>
    </w:p>
    <w:p w14:paraId="192AC660" w14:textId="77777777" w:rsidR="000B3BD2" w:rsidRDefault="000B3BD2" w:rsidP="000B3BD2">
      <w:pPr>
        <w:rPr>
          <w:rFonts w:hint="eastAsia"/>
        </w:rPr>
      </w:pPr>
    </w:p>
    <w:p w14:paraId="19090255" w14:textId="77777777" w:rsidR="000B3BD2" w:rsidRDefault="000B3BD2" w:rsidP="000B3BD2">
      <w:pPr>
        <w:rPr>
          <w:rFonts w:hint="eastAsia"/>
        </w:rPr>
      </w:pPr>
    </w:p>
    <w:p w14:paraId="09AB25DD" w14:textId="77777777" w:rsidR="00A6228A" w:rsidRPr="000B3BD2" w:rsidRDefault="00A6228A" w:rsidP="000B3BD2">
      <w:pPr>
        <w:rPr>
          <w:rFonts w:hint="eastAsia"/>
        </w:rPr>
      </w:pPr>
    </w:p>
    <w:sectPr w:rsidR="00A6228A" w:rsidRPr="000B3BD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8A"/>
    <w:rsid w:val="00032131"/>
    <w:rsid w:val="000B3BD2"/>
    <w:rsid w:val="00100A3E"/>
    <w:rsid w:val="00227CAB"/>
    <w:rsid w:val="00375EE6"/>
    <w:rsid w:val="005E4484"/>
    <w:rsid w:val="00784744"/>
    <w:rsid w:val="007D6138"/>
    <w:rsid w:val="00A6228A"/>
    <w:rsid w:val="00B95B51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05DA"/>
  <w15:docId w15:val="{D9CC0A37-EDC0-44DA-AC8C-43FD6033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Pr>
      <w:b/>
      <w:b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B9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Fuentedeprrafopredeter"/>
    <w:rsid w:val="000B3BD2"/>
  </w:style>
  <w:style w:type="character" w:styleId="Hipervnculo">
    <w:name w:val="Hyperlink"/>
    <w:basedOn w:val="Fuentedeprrafopredeter"/>
    <w:uiPriority w:val="99"/>
    <w:semiHidden/>
    <w:unhideWhenUsed/>
    <w:rsid w:val="000B3BD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84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pce.org.ar/wp-content/uploads/2024/07/Resolucion-Tecnica-N%C2%B0-59-TO-RT-54-NUA.pdf?utm_source=chatgp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dc:description/>
  <cp:lastModifiedBy>Barby Videla</cp:lastModifiedBy>
  <cp:revision>2</cp:revision>
  <dcterms:created xsi:type="dcterms:W3CDTF">2025-10-25T18:49:00Z</dcterms:created>
  <dcterms:modified xsi:type="dcterms:W3CDTF">2025-10-25T18:49:00Z</dcterms:modified>
  <dc:language>es-AR</dc:language>
</cp:coreProperties>
</file>