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BD53F">
      <w:pPr>
        <w:ind w:left="0" w:leftChars="0" w:right="0" w:rightChars="0" w:firstLine="0" w:firstLineChars="0"/>
        <w:jc w:val="both"/>
        <w:rPr>
          <w:rFonts w:hint="default" w:ascii="Cascadia Mono SemiBold" w:hAnsi="Cascadia Mono SemiBold" w:cs="Cascadia Mono SemiBold"/>
          <w:sz w:val="44"/>
          <w:szCs w:val="24"/>
          <w:lang w:val="es-MX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pict>
          <v:rect id="_x0000_s1026" o:spid="_x0000_s1026" o:spt="1" style="position:absolute;left:0pt;margin-left:66.1pt;height:791.1pt;width:7.4pt;mso-position-horizontal-relative:page;mso-position-vertical:top;mso-position-vertical-relative:page;z-index:251662336;mso-width-relative:page;mso-height-relative:page;" fillcolor="#FFFFFF" filled="t" stroked="t" coordsize="21600,21600">
            <v:path/>
            <v:fill on="t" focussize="0,0"/>
            <v:stroke color="#498AC7"/>
            <v:imagedata o:title=""/>
            <o:lock v:ext="edit" grouping="f" rotation="f" text="f" aspectratio="f"/>
          </v:rect>
        </w:pict>
      </w:r>
      <w:r>
        <w:pict>
          <v:rect id="_x0000_s1027" o:spid="_x0000_s1027" o:spt="1" style="position:absolute;left:0pt;margin-left:445.15pt;height:791.1pt;width:7.4pt;mso-position-vertical:top;mso-position-vertical-relative:page;z-index:251663360;mso-width-relative:page;mso-height-relative:page;" fillcolor="#FFFFFF" filled="t" stroked="t" coordsize="21600,21600">
            <v:path/>
            <v:fill on="t" focussize="0,0"/>
            <v:stroke color="#498AC7"/>
            <v:imagedata o:title=""/>
            <o:lock v:ext="edit" grouping="f" rotation="f" text="f" aspectratio="f"/>
          </v:rect>
        </w:pict>
      </w:r>
      <w:r>
        <w:pict>
          <v:rect id="_x0000_s1028" o:spid="_x0000_s1028" o:spt="1" style="position:absolute;left:0pt;height:57.25pt;width:612.25pt;mso-position-horizontal:left;mso-position-horizontal-relative:page;mso-position-vertical:top;mso-position-vertical-relative:page;z-index:251661312;mso-width-relative:page;mso-height-relative:page;" fillcolor="#498AC7" filled="t" stroked="t" coordsize="21600,21600">
            <v:path/>
            <v:fill on="t" focussize="0,0"/>
            <v:stroke color="#3674AE"/>
            <v:imagedata o:title=""/>
            <o:lock v:ext="edit" grouping="f" rotation="f" text="f" aspectratio="f"/>
          </v:rect>
        </w:pict>
      </w:r>
      <w:r>
        <w:pict>
          <v:rect id="_x0000_s1029" o:spid="_x0000_s1029" o:spt="1" style="position:absolute;left:0pt;height:57.25pt;width:612.25pt;mso-position-horizontal:left;mso-position-horizontal-relative:page;mso-position-vertical:bottom;mso-position-vertical-relative:page;z-index:251660288;mso-width-relative:page;mso-height-relative:page;" fillcolor="#498AC7" filled="t" stroked="t" coordsize="21600,21600">
            <v:path/>
            <v:fill on="t" focussize="0,0"/>
            <v:stroke color="#3674AE"/>
            <v:imagedata o:title=""/>
            <o:lock v:ext="edit" grouping="f" rotation="f" text="f" aspectratio="f"/>
          </v:rect>
        </w:pict>
      </w:r>
      <w:r>
        <w:rPr>
          <w:u w:val="none"/>
        </w:rPr>
        <w:pict>
          <v:shape id="_x0000_s1031" o:spid="_x0000_s1031" o:spt="136" type="#_x0000_t136" style="position:absolute;left:0pt;margin-top:120.1pt;height:59.3pt;width:258.75pt;mso-position-horizontal:center;z-index:251664384;mso-width-relative:page;mso-height-relative:page;" fillcolor="#3674AE" filled="t" stroked="t" coordsize="21600,21600" adj="10800">
            <v:path/>
            <v:fill on="t" color2="#FF9933" focussize="0,0"/>
            <v:stroke color="#FFFFFF"/>
            <v:imagedata o:title=""/>
            <o:lock v:ext="edit" aspectratio="f"/>
            <v:textpath on="t" fitshape="t" fitpath="t" trim="t" xscale="f" string="SEGEMAR" style="font-family:Times New Roman;font-size:40pt;font-weight:bold;v-text-align:center;"/>
            <v:shadow on="t" type="emboss" obscured="f" color="lineOrFill darken(153)" opacity="65536f" color2="shadow add(102)" offset="-1pt,-1pt" offset2="0pt,0pt" origin="0f,0f" matrix="65536f,0f,0f,65536f,0,0"/>
          </v:shape>
        </w:pict>
      </w:r>
      <w:r>
        <w:pict>
          <v:shape id="_x0000_s1030" o:spid="_x0000_s1030" o:spt="202" type="#_x0000_t202" style="position:absolute;left:0pt;margin-left:26.65pt;margin-top:413.25pt;height:203.55pt;width:368.1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AE9BD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Apellidos y Nombres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eastAsia="zh-CN"/>
                    </w:rPr>
                    <w:t>：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Mallea Alejo, Montenegro Pedro y Sarmiento Franco</w:t>
                  </w:r>
                </w:p>
                <w:p w14:paraId="57C349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Profesora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eastAsia="zh-CN"/>
                    </w:rPr>
                    <w:t>：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Rodríguez Natalia</w:t>
                  </w:r>
                </w:p>
                <w:p w14:paraId="46EB5B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Curso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eastAsia="zh-CN"/>
                    </w:rPr>
                    <w:t>：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7mo A</w:t>
                  </w:r>
                </w:p>
                <w:p w14:paraId="395FAA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Lines="0" w:after="156" w:afterLines="5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Año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eastAsia="zh-CN"/>
                    </w:rPr>
                    <w:t>：</w:t>
                  </w:r>
                  <w:r>
                    <w:rPr>
                      <w:rFonts w:hint="default" w:ascii="Times New Roman" w:hAnsi="Times New Roman" w:eastAsia="楷体" w:cs="Times New Roman"/>
                      <w:b/>
                      <w:bCs w:val="0"/>
                      <w:color w:val="auto"/>
                      <w:sz w:val="32"/>
                      <w:szCs w:val="18"/>
                      <w:lang w:val="es-ES" w:eastAsia="zh-CN"/>
                    </w:rPr>
                    <w:t>2025</w:t>
                  </w:r>
                </w:p>
              </w:txbxContent>
            </v:textbox>
          </v:shape>
        </w:pict>
      </w:r>
    </w:p>
    <w:p w14:paraId="07641830">
      <w:pPr>
        <w:pStyle w:val="3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ascii="Arial" w:hAnsi="Arial" w:cs="Arial"/>
          <w:sz w:val="24"/>
          <w:szCs w:val="24"/>
          <w:lang w:val="es-MX"/>
        </w:rPr>
        <w:t>Que es</w:t>
      </w:r>
      <w:r>
        <w:rPr>
          <w:rFonts w:hint="default" w:ascii="Arial" w:hAnsi="Arial" w:cs="Arial"/>
          <w:sz w:val="24"/>
          <w:szCs w:val="24"/>
          <w:lang w:val="es-ES"/>
        </w:rPr>
        <w:t>?</w:t>
      </w:r>
      <w:r>
        <w:rPr>
          <w:rFonts w:ascii="Arial" w:hAnsi="Arial" w:cs="Arial"/>
          <w:sz w:val="24"/>
          <w:szCs w:val="24"/>
          <w:lang w:val="es-MX"/>
        </w:rPr>
        <w:br w:type="textWrapping"/>
      </w:r>
      <w:r>
        <w:rPr>
          <w:rFonts w:hint="default" w:ascii="Arial" w:hAnsi="Arial" w:cs="Arial"/>
          <w:b w:val="0"/>
          <w:bCs w:val="0"/>
        </w:rPr>
        <w:t xml:space="preserve">El </w:t>
      </w:r>
      <w:r>
        <w:rPr>
          <w:rStyle w:val="15"/>
          <w:rFonts w:hint="default" w:ascii="Arial" w:hAnsi="Arial" w:cs="Arial"/>
          <w:b w:val="0"/>
          <w:bCs w:val="0"/>
        </w:rPr>
        <w:t>Servicio Geológico Minero Argentino (SegemAR)</w:t>
      </w:r>
      <w:r>
        <w:rPr>
          <w:rFonts w:hint="default" w:ascii="Arial" w:hAnsi="Arial" w:cs="Arial"/>
          <w:b w:val="0"/>
          <w:bCs w:val="0"/>
        </w:rPr>
        <w:t xml:space="preserve"> es el organismo nacional responsable de la </w:t>
      </w:r>
      <w:r>
        <w:rPr>
          <w:rStyle w:val="15"/>
          <w:rFonts w:hint="default" w:ascii="Arial" w:hAnsi="Arial" w:cs="Arial"/>
          <w:b w:val="0"/>
          <w:bCs w:val="0"/>
        </w:rPr>
        <w:t>investigación geológica, minera y geotécnica</w:t>
      </w:r>
      <w:r>
        <w:rPr>
          <w:rFonts w:hint="default" w:ascii="Arial" w:hAnsi="Arial" w:cs="Arial"/>
          <w:b w:val="0"/>
          <w:bCs w:val="0"/>
        </w:rPr>
        <w:t xml:space="preserve"> del territorio argentino. Depende de la </w:t>
      </w:r>
      <w:r>
        <w:rPr>
          <w:rStyle w:val="15"/>
          <w:rFonts w:hint="default" w:ascii="Arial" w:hAnsi="Arial" w:cs="Arial"/>
          <w:b w:val="0"/>
          <w:bCs w:val="0"/>
        </w:rPr>
        <w:t>Secretaría de Minería de la Nación</w:t>
      </w:r>
      <w:r>
        <w:rPr>
          <w:rFonts w:hint="default" w:ascii="Arial" w:hAnsi="Arial" w:cs="Arial"/>
          <w:b w:val="0"/>
          <w:bCs w:val="0"/>
        </w:rPr>
        <w:t xml:space="preserve">, dentro del </w:t>
      </w:r>
      <w:r>
        <w:rPr>
          <w:rStyle w:val="15"/>
          <w:rFonts w:hint="default" w:ascii="Arial" w:hAnsi="Arial" w:cs="Arial"/>
          <w:b w:val="0"/>
          <w:bCs w:val="0"/>
        </w:rPr>
        <w:t>Ministerio de Economía</w:t>
      </w:r>
      <w:r>
        <w:rPr>
          <w:rFonts w:hint="default" w:ascii="Arial" w:hAnsi="Arial" w:cs="Arial"/>
          <w:b w:val="0"/>
          <w:bCs w:val="0"/>
        </w:rPr>
        <w:t>, y constituye la autoridad técnica principal en materia de conocimiento del subsuelo y recursos naturales.</w:t>
      </w:r>
      <w:r>
        <w:rPr>
          <w:rFonts w:hint="default" w:ascii="Arial" w:hAnsi="Arial" w:cs="Arial"/>
          <w:b w:val="0"/>
          <w:bCs w:val="0"/>
        </w:rPr>
        <w:br w:type="textWrapping"/>
      </w:r>
      <w:r>
        <w:rPr>
          <w:rFonts w:hint="default" w:ascii="Arial" w:hAnsi="Arial" w:cs="Arial"/>
          <w:b w:val="0"/>
          <w:bCs w:val="0"/>
        </w:rPr>
        <w:t xml:space="preserve">Su misión es </w:t>
      </w:r>
      <w:r>
        <w:rPr>
          <w:rStyle w:val="15"/>
          <w:rFonts w:hint="default" w:ascii="Arial" w:hAnsi="Arial" w:cs="Arial"/>
          <w:b w:val="0"/>
          <w:bCs w:val="0"/>
        </w:rPr>
        <w:t>producir, integrar y difundir información geocientífica</w:t>
      </w:r>
      <w:r>
        <w:rPr>
          <w:rFonts w:hint="default" w:ascii="Arial" w:hAnsi="Arial" w:cs="Arial"/>
          <w:b w:val="0"/>
          <w:bCs w:val="0"/>
        </w:rPr>
        <w:t xml:space="preserve"> para el desarrollo sostenible de la Argentina, fomentando la exploración minera responsable, la gestión territorial segura y la prevención de riesgos naturales.</w:t>
      </w:r>
      <w:r>
        <w:rPr>
          <w:rFonts w:hint="default" w:ascii="Arial" w:hAnsi="Arial" w:cs="Arial"/>
          <w:b w:val="0"/>
          <w:bCs w:val="0"/>
        </w:rPr>
        <w:br w:type="textWrapping"/>
      </w:r>
      <w:r>
        <w:rPr>
          <w:rFonts w:hint="default" w:ascii="Arial" w:hAnsi="Arial" w:cs="Arial"/>
          <w:b w:val="0"/>
          <w:bCs w:val="0"/>
        </w:rPr>
        <w:t>A lo largo del país, el SegemAR desarrolla tareas de campo, laboratorio, análisis geoespacial y modelado digital, mediante equipos multidisciplinarios de geólogos, ingenieros, geofísicos y técnicos especializados.</w:t>
      </w:r>
    </w:p>
    <w:p w14:paraId="34D7AC6E">
      <w:pPr>
        <w:rPr>
          <w:rStyle w:val="166"/>
          <w:rFonts w:ascii="Arial" w:hAnsi="Arial" w:cs="Arial"/>
          <w:color w:val="001D35"/>
          <w:shd w:val="clear" w:color="auto" w:fill="FFFFFF"/>
        </w:rPr>
      </w:pPr>
    </w:p>
    <w:p w14:paraId="58AE01E6">
      <w:pPr>
        <w:rPr>
          <w:rStyle w:val="14"/>
          <w:rFonts w:hint="default" w:ascii="Arial" w:hAnsi="Arial" w:cs="Arial"/>
          <w:spacing w:val="-3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sz w:val="24"/>
          <w:szCs w:val="24"/>
          <w:lang w:val="es-MX"/>
        </w:rPr>
        <w:t>Donde se ubica</w:t>
      </w:r>
      <w:r>
        <w:rPr>
          <w:rFonts w:hint="default" w:ascii="Arial" w:hAnsi="Arial" w:cs="Arial"/>
          <w:sz w:val="24"/>
          <w:szCs w:val="24"/>
          <w:lang w:val="es-ES"/>
        </w:rPr>
        <w:t>?</w:t>
      </w:r>
      <w:r>
        <w:rPr>
          <w:rFonts w:ascii="Arial" w:hAnsi="Arial" w:cs="Arial"/>
          <w:sz w:val="24"/>
          <w:szCs w:val="24"/>
          <w:lang w:val="es-MX"/>
        </w:rPr>
        <w:br w:type="textWrapping"/>
      </w:r>
      <w:r>
        <w:rPr>
          <w:rStyle w:val="15"/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Dirección: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 Av. General Paz 5445 (colectora) Parque Tecnológico Miguelete Edificio 14 y Edificio 25 San Martín, Provincia de Buenos Aires</w:t>
      </w:r>
      <w:r>
        <w:rPr>
          <w:rFonts w:ascii="Arial" w:hAnsi="Arial" w:cs="Arial"/>
          <w:color w:val="141414"/>
          <w:spacing w:val="-3"/>
          <w:sz w:val="24"/>
          <w:szCs w:val="24"/>
        </w:rPr>
        <w:br w:type="textWrapping"/>
      </w:r>
      <w:r>
        <w:rPr>
          <w:rStyle w:val="15"/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Código postal: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 B1650 WAB</w:t>
      </w:r>
      <w:r>
        <w:rPr>
          <w:rFonts w:ascii="Arial" w:hAnsi="Arial" w:cs="Arial"/>
          <w:color w:val="141414"/>
          <w:spacing w:val="-3"/>
          <w:sz w:val="24"/>
          <w:szCs w:val="24"/>
        </w:rPr>
        <w:br w:type="textWrapping"/>
      </w:r>
      <w:r>
        <w:rPr>
          <w:rStyle w:val="15"/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Teléfono: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 (54–11) 5670-0100</w:t>
      </w:r>
      <w:r>
        <w:rPr>
          <w:rFonts w:ascii="Arial" w:hAnsi="Arial" w:cs="Arial"/>
          <w:color w:val="141414"/>
          <w:spacing w:val="-3"/>
          <w:sz w:val="24"/>
          <w:szCs w:val="24"/>
        </w:rPr>
        <w:br w:type="textWrapping"/>
      </w:r>
      <w:r>
        <w:rPr>
          <w:rStyle w:val="15"/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Correo electrónico: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"mailto:contacto@segemar.gob.ar" \t "blank" </w:instrText>
      </w:r>
      <w:r>
        <w:fldChar w:fldCharType="separate"/>
      </w:r>
      <w:r>
        <w:rPr>
          <w:rStyle w:val="14"/>
          <w:rFonts w:ascii="Arial" w:hAnsi="Arial" w:cs="Arial"/>
          <w:spacing w:val="-3"/>
          <w:sz w:val="24"/>
          <w:szCs w:val="24"/>
          <w:shd w:val="clear" w:color="auto" w:fill="FFFFFF"/>
        </w:rPr>
        <w:t>contacto@segemar.gob.ar</w:t>
      </w:r>
      <w:r>
        <w:rPr>
          <w:rStyle w:val="14"/>
          <w:rFonts w:ascii="Arial" w:hAnsi="Arial" w:cs="Arial"/>
          <w:spacing w:val="-3"/>
          <w:sz w:val="24"/>
          <w:szCs w:val="24"/>
          <w:shd w:val="clear" w:color="auto" w:fill="FFFFFF"/>
        </w:rPr>
        <w:fldChar w:fldCharType="end"/>
      </w:r>
      <w:r>
        <w:rPr>
          <w:rStyle w:val="14"/>
          <w:rFonts w:hint="default" w:ascii="Arial" w:hAnsi="Arial" w:cs="Arial"/>
          <w:spacing w:val="-3"/>
          <w:sz w:val="24"/>
          <w:szCs w:val="24"/>
          <w:shd w:val="clear" w:color="auto" w:fill="FFFFFF"/>
          <w:lang w:val="es-ES"/>
        </w:rPr>
        <w:t xml:space="preserve"> </w:t>
      </w:r>
    </w:p>
    <w:p w14:paraId="54FCAA77">
      <w:pPr>
        <w:rPr>
          <w:rStyle w:val="14"/>
          <w:rFonts w:hint="default" w:ascii="Arial" w:hAnsi="Arial" w:cs="Arial"/>
          <w:spacing w:val="-3"/>
          <w:sz w:val="24"/>
          <w:szCs w:val="24"/>
          <w:shd w:val="clear" w:color="auto" w:fill="FFFFFF"/>
          <w:lang w:val="es-ES"/>
        </w:rPr>
      </w:pPr>
      <w:r>
        <w:rPr>
          <w:lang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483870</wp:posOffset>
            </wp:positionV>
            <wp:extent cx="3474720" cy="220218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50578" t="44244" r="4628" b="24624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2021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8E365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br w:type="textWrapping"/>
      </w:r>
    </w:p>
    <w:p w14:paraId="7AB43630">
      <w:pPr>
        <w:rPr>
          <w:rFonts w:ascii="Arial" w:hAnsi="Arial" w:cs="Arial"/>
          <w:sz w:val="24"/>
          <w:lang w:val="es-MX"/>
        </w:rPr>
      </w:pPr>
    </w:p>
    <w:p w14:paraId="2BE57330">
      <w:pPr>
        <w:rPr>
          <w:rFonts w:hint="default"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MX"/>
        </w:rPr>
        <w:br w:type="textWrapping"/>
      </w:r>
      <w:r>
        <w:rPr>
          <w:rFonts w:ascii="Arial" w:hAnsi="Arial" w:cs="Arial"/>
          <w:sz w:val="24"/>
          <w:lang w:val="es-MX"/>
        </w:rPr>
        <w:br w:type="textWrapping"/>
      </w:r>
      <w:r>
        <w:rPr>
          <w:rFonts w:ascii="Arial" w:hAnsi="Arial" w:cs="Arial"/>
          <w:sz w:val="24"/>
          <w:lang w:val="es-MX"/>
        </w:rPr>
        <w:br w:type="textWrapping"/>
      </w:r>
      <w:r>
        <w:rPr>
          <w:rFonts w:ascii="Arial" w:hAnsi="Arial" w:cs="Arial"/>
          <w:sz w:val="24"/>
          <w:lang w:val="es-MX"/>
        </w:rPr>
        <w:t>Que áreas trabaja</w:t>
      </w:r>
      <w:r>
        <w:rPr>
          <w:rFonts w:hint="default" w:ascii="Arial" w:hAnsi="Arial" w:cs="Arial"/>
          <w:sz w:val="24"/>
          <w:lang w:val="es-ES"/>
        </w:rPr>
        <w:t>?</w:t>
      </w:r>
    </w:p>
    <w:tbl>
      <w:tblPr>
        <w:tblStyle w:val="12"/>
        <w:tblW w:w="10344" w:type="dxa"/>
        <w:tblCellSpacing w:w="15" w:type="dxa"/>
        <w:tblInd w:w="-6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7"/>
        <w:gridCol w:w="3740"/>
        <w:gridCol w:w="3777"/>
      </w:tblGrid>
      <w:tr w14:paraId="4D67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5A81E0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Área de trabajo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7E1E3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Descripción principal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CCD6F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Aplicaciones</w:t>
            </w:r>
          </w:p>
        </w:tc>
      </w:tr>
      <w:tr w14:paraId="694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7205FF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Geología Regional y Cartografía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2016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Elaboración de cartas geológicas, mapeo de unidades litológicas, estructuras y evolución geológica.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1EF123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Conocimiento del territorio, planificación territorial, educación.</w:t>
            </w:r>
          </w:p>
        </w:tc>
      </w:tr>
      <w:tr w14:paraId="504D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612E09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Recursos Minerales y Geología Económica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95A46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Prospección y evaluación de yacimientos metalíferos, no metalíferos y rocas industriales.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670DD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Exploración minera, desarrollo económico regional.</w:t>
            </w:r>
          </w:p>
        </w:tc>
      </w:tr>
      <w:tr w14:paraId="11F3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1E5D15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Geología Ambiental y Riesgos Geológicos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3DE3D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Evaluación de peligros naturales (sismos, deslizamientos, volcanes).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3346FD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Prevención y mitigación de riesgos, gestión urbana.</w:t>
            </w:r>
          </w:p>
        </w:tc>
      </w:tr>
      <w:tr w14:paraId="2A0C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24676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Hidrogeología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DD071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Estudio de acuíferos, calidad y recarga de aguas subterráneas.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589BB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Abastecimiento, agricultura, gestión del agua.</w:t>
            </w:r>
          </w:p>
        </w:tc>
      </w:tr>
      <w:tr w14:paraId="2792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3516DB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Geofísica y Geotecnia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5E0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Aplicación de métodos sísmicos, gravimétricos y magnéticos para estudiar el subsuelo.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0F2A8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Obras civiles, minería, energía, exploración.</w:t>
            </w:r>
          </w:p>
        </w:tc>
      </w:tr>
      <w:tr w14:paraId="59A9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68680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Geoquímica y Petrología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73501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Análisis de rocas, suelos y aguas en laboratorio.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27DA9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Investigación mineralógica y ambiental.</w:t>
            </w:r>
          </w:p>
        </w:tc>
      </w:tr>
      <w:tr w14:paraId="4990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07A01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Patrimonio Geológico y Geoturismo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517C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Identificación y conservación de geositios y geoparques.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64ED0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Turismo sostenible, educación científica.</w:t>
            </w:r>
          </w:p>
        </w:tc>
      </w:tr>
      <w:tr w14:paraId="4EAC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0AB24E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Sistemas de Información Geográfica (SIG)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81471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Gestión digital de mapas, imágenes satelitales y datos georreferenciados.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FD43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Planificación, investigación, acceso público a la información.</w:t>
            </w:r>
          </w:p>
        </w:tc>
      </w:tr>
      <w:tr w14:paraId="7347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tblCellSpacing w:w="15" w:type="dxa"/>
        </w:trPr>
        <w:tc>
          <w:tcPr>
            <w:tcW w:w="2782" w:type="dxa"/>
            <w:shd w:val="clear" w:color="auto" w:fill="auto"/>
            <w:vAlign w:val="center"/>
          </w:tcPr>
          <w:p w14:paraId="13D19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Style w:val="15"/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Publicaciones y Difusión Científica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82880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Edición de hojas geológicas, atlas, informes y boletines técnicos.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083A81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kern w:val="0"/>
                <w:sz w:val="24"/>
                <w:szCs w:val="24"/>
                <w:lang w:val="en-US" w:eastAsia="zh-CN" w:bidi="ar"/>
              </w:rPr>
              <w:t>Investigación, docencia, divulgación científica.</w:t>
            </w:r>
          </w:p>
        </w:tc>
      </w:tr>
    </w:tbl>
    <w:p w14:paraId="2B2DB9E3">
      <w:pPr>
        <w:rPr>
          <w:rFonts w:ascii="Arial" w:hAnsi="Arial" w:cs="Arial"/>
          <w:sz w:val="24"/>
          <w:lang w:val="es-MX"/>
        </w:rPr>
      </w:pPr>
    </w:p>
    <w:p w14:paraId="3EE879EA">
      <w:pPr>
        <w:rPr>
          <w:rFonts w:ascii="Arial" w:hAnsi="Arial" w:cs="Arial"/>
          <w:sz w:val="24"/>
          <w:lang w:val="es-MX"/>
        </w:rPr>
      </w:pPr>
      <w:bookmarkStart w:id="0" w:name="_GoBack"/>
      <w:bookmarkEnd w:id="0"/>
    </w:p>
    <w:p w14:paraId="3E017A58">
      <w:pPr>
        <w:rPr>
          <w:rFonts w:hint="default" w:ascii="Arial" w:hAnsi="Arial" w:cs="Arial"/>
          <w:color w:val="001D35"/>
          <w:sz w:val="24"/>
          <w:shd w:val="clear" w:color="auto" w:fill="FFFFFF"/>
          <w:lang w:val="es-ES"/>
        </w:rPr>
      </w:pPr>
      <w:r>
        <w:rPr>
          <w:rFonts w:hint="default" w:ascii="Arial" w:hAnsi="Arial" w:cs="Arial"/>
          <w:sz w:val="24"/>
          <w:lang w:val="es-ES"/>
        </w:rPr>
        <w:t>Sus Sedes</w:t>
      </w:r>
      <w:r>
        <w:rPr>
          <w:rFonts w:ascii="Arial" w:hAnsi="Arial" w:cs="Arial"/>
          <w:sz w:val="24"/>
          <w:lang w:val="es-MX"/>
        </w:rPr>
        <w:br w:type="textWrapping"/>
      </w:r>
      <w:r>
        <w:rPr>
          <w:rFonts w:ascii="Arial" w:hAnsi="Arial" w:cs="Arial"/>
          <w:color w:val="001D35"/>
          <w:sz w:val="24"/>
          <w:shd w:val="clear" w:color="auto" w:fill="FFFFFF"/>
        </w:rPr>
        <w:t>Las sedes de SEGEMAR en Argentina incluyen la Sede Central en Avenida General Paz 5445 (Parque Tecnológico Miguelete), San Martín, Provincia de Buenos Aires, y Centros en ciudades como Comodoro Rivadavia (Chubut), Córdoba, General Roca (Río Negro), Jujuy, La Rioja, Mendoza, Salta, San Juan, Viedma (Río Negro) y Tucumán.</w:t>
      </w:r>
    </w:p>
    <w:p w14:paraId="7815C6E9">
      <w:pPr>
        <w:pStyle w:val="2"/>
        <w:ind w:firstLine="321" w:firstLineChars="100"/>
      </w:pPr>
      <w:r>
        <w:rPr>
          <w:rFonts w:hint="default" w:asciiTheme="majorEastAsia" w:hAnsiTheme="majorEastAsia" w:cstheme="majorEastAsia"/>
          <w:sz w:val="32"/>
          <w:szCs w:val="32"/>
          <w:lang w:val="es-ES"/>
        </w:rPr>
        <w:t>I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NFORME GEOLÓGICO – CARTA GEOLÓGICA MINA PIRQUITAS</w:t>
      </w:r>
    </w:p>
    <w:p w14:paraId="233260DC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 Introducción y Marco de Referencia</w:t>
      </w:r>
    </w:p>
    <w:p w14:paraId="0969212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Título: Carta Geológica Mina Pirquitas 2366-I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Organismo emisor: Servicio Geológico Minero Argentino (SegemAR) e Instituto de Recursos Minerales (INREMI)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Escala: 1:250.000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Ubicación: Provincia de Jujuy, región de la Puna, entre los 22°00’–23°00’ S y 66°00’–67°30’ 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Centro geográfico: Mina Pirquitas (≈4200 m s.n.m.).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 Hoja Geológica Mina Pirquitas 2366-I representa la composición, estructura y evolución geológica de un sector de la Puna jujeña. Su objetivo es detallar las unidades estratigráficas, ígneas, metamórficas, estructuras tectónicas y recursos minerales del área.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3D01A41A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 Geología Estratigráfica</w:t>
      </w:r>
    </w:p>
    <w:p w14:paraId="60A6331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 región de Mina Pirquitas presenta una compleja historia geológica desde el Precámbrico hasta el Cuaternario. Se distinguen las siguientes etapas principales: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1. Basamento Precámbrico–Cámbrico: rocas metamórficas de bajo a mediano grado (esquistos, cuarcitas, filitas) con foliación tectónica, asociadas al Ciclo Pampeano.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2. Paleozoico inferior (Ordovícico–Silúrico): sedimentación marina profunda (areniscas, lutitas, grauvacas) posteriormente deformadas por la orogenia Oclóyica.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3. Paleozoico medio–superior: sedimentación de ambientes marinos y continentales; intrusiones graníticas tardías.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4. Mesozoico: intrusiones plutónicas y diques andesíticos vinculados a una etapa extensional.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5. Cenozoico–Cuaternario: intensa actividad volcánica, levantamiento andino y sedimentación continental.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4CB0BC5D">
      <w:pPr>
        <w:rPr>
          <w:rFonts w:hint="default" w:ascii="Arial" w:hAnsi="Arial" w:cs="Arial"/>
          <w:sz w:val="24"/>
          <w:szCs w:val="24"/>
        </w:rPr>
      </w:pPr>
    </w:p>
    <w:p w14:paraId="353A70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Unidades principales: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Metamórficas: esquistos, filitas y gneises, foliados, grado metamórfico creciente hacia el oeste.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Sedimentarias: secuencias paleozoicas marinas con fósiles, plegadas e inclinadas.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Volcánicas neógenas: tobas, ignimbritas, lavas andesíticas y dacíticas, domos riolíticos.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Cuaternarias: depósitos aluviales, coluviales y lacustres recientes.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Las columnas estratigráficas muestran una sucesión metamórfica basal cubierta discordantemente por sedimentos paleozoicos, luego por volcanitas neógenas y finalmente depósitos cuaternarios subhorizontales.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29FFD3AA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Estructura y Tectónica</w:t>
      </w:r>
    </w:p>
    <w:p w14:paraId="4656835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 estructura regional está dominada por fallas inversas y lineamientos N–S y NE–SO, vinculados a la tectónica compresiva andina.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Estratificación: visible en las unidades sedimentarias, buzamientos entre 30°–70°, frecuentemente plegadas.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Fallamiento: predominan fallas inversas con vergencia oriental (Fallas de Pirquitas, Rinconada y Coyaguayma).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Plegamiento: pliegues anticlinales y sinclinales asimétricos, ejes N–S.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Elementos lineales y planares: foliaciones metamórficas y fracturas E–O.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 tectónica reciente modela el relieve actual, con elevaciones, cuencas tectónicas y control de drenajes.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1B7ECB40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4. Esquema Geomorfológico y Síntesis</w:t>
      </w:r>
    </w:p>
    <w:p w14:paraId="5CE038A7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El relieve pertenece a la alta Puna, caracterizado por planicies estructurales, sierras volcánicas y valles intermontanos.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Unidades geomorfológicas: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1. Altiplano estructural: relieves planos, control tectónico.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2. Sierras volcánicas y domos dacíticos.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3. Cuencas sedimentarias con depósitos fluviales y eólicos.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La geología superficial evidencia el control estructural del relieve. Mina Pirquitas alberga un yacimiento polimetálico (Ag, Sn, Zn, Pb) de origen hidrotermal asociado al volcanismo mioceno.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3D36763F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5. Conclusiones y Síntesis Histórica</w:t>
      </w:r>
    </w:p>
    <w:p w14:paraId="54656F3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El área exhibe una evolución policíclica desde el Precámbrico hasta el presente. La tectónica andina del Cenozoico fue el factor principal en la estructuración del relieve. La mineralización está asociada a sistemas volcánicos miocenos y procesos hidrotermales.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Historia geológica resumida: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1. Formación del basamento metamórfico.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2. Sedimentación marina paleozoica.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3. Deformación orogénica Oclóyica.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4. Intrusiones graníticas y metamorfismo.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5. Erosión mesozoica.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6. Volcanismo y sedimentación cenozoica.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7. Orogenia andina.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8. Modelado cuaternario.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003E2B57">
      <w:pPr>
        <w:pStyle w:val="3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Bibliografía</w:t>
      </w:r>
    </w:p>
    <w:p w14:paraId="36754ABF"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Servicio Geológico Minero Argentino (SegemAR). Hoja Geológica 2366-I Mina Pirquitas, Jujuy. Serie Hojas Geológicas 1:250.000.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Instituto de Recursos Minerales (INREMI). Cartografía y geología regional de la Puna jujeña.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Coira, B. et al. (1993). Magmatismo y tectónica del noroeste argentino. Revista de la Asociación Geológica Argentina.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- Segemar (2020). Geología y recursos minerales del Noroeste Argentino.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scadia Mono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楷体">
    <w:altName w:val="SimSun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5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5F59FD"/>
    <w:rsid w:val="491E11C8"/>
    <w:rsid w:val="6BA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0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1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head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List 2"/>
    <w:basedOn w:val="1"/>
    <w:unhideWhenUsed/>
    <w:uiPriority w:val="99"/>
    <w:pPr>
      <w:ind w:left="720" w:hanging="360"/>
      <w:contextualSpacing/>
    </w:pPr>
  </w:style>
  <w:style w:type="paragraph" w:styleId="2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33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Body Text"/>
    <w:basedOn w:val="1"/>
    <w:link w:val="48"/>
    <w:unhideWhenUsed/>
    <w:qFormat/>
    <w:uiPriority w:val="99"/>
    <w:pPr>
      <w:spacing w:after="120"/>
    </w:pPr>
  </w:style>
  <w:style w:type="paragraph" w:styleId="36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37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4"/>
    <w:qFormat/>
    <w:uiPriority w:val="99"/>
  </w:style>
  <w:style w:type="character" w:customStyle="1" w:styleId="40">
    <w:name w:val="Footer Char"/>
    <w:basedOn w:val="11"/>
    <w:link w:val="33"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35"/>
    <w:qFormat/>
    <w:uiPriority w:val="99"/>
  </w:style>
  <w:style w:type="character" w:customStyle="1" w:styleId="49">
    <w:name w:val="Body Text 2 Char"/>
    <w:basedOn w:val="11"/>
    <w:link w:val="21"/>
    <w:qFormat/>
    <w:uiPriority w:val="99"/>
  </w:style>
  <w:style w:type="character" w:customStyle="1" w:styleId="50">
    <w:name w:val="Body Text 3 Char"/>
    <w:basedOn w:val="11"/>
    <w:link w:val="36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18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66">
    <w:name w:val="uv3um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ZhuhaiKingsoftOfficeSoftw.WPSOffice2019_12.2.22556.0_x86__924xes6e8q1tw\12.2.0.22556\office6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Austere"/>
      <sectRole val="1"/>
    </customSectPr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10132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valen</cp:lastModifiedBy>
  <dcterms:modified xsi:type="dcterms:W3CDTF">2025-10-15T11:13:07Z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3082-12.2.0.22556</vt:lpwstr>
  </property>
  <property fmtid="{D5CDD505-2E9C-101B-9397-08002B2CF9AE}" pid="3" name="ICV">
    <vt:lpwstr>8CD3439374B74A12A99D4779E0C9121B_13</vt:lpwstr>
  </property>
</Properties>
</file>