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70E5" w14:textId="05EF8A0B" w:rsidR="00756743" w:rsidRDefault="00A60BA5" w:rsidP="00756743">
      <w:pPr>
        <w:spacing w:line="0" w:lineRule="atLeast"/>
        <w:ind w:right="-19"/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</w:pPr>
      <w:r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  <w:t>Espacio curricular: Geografía</w:t>
      </w:r>
    </w:p>
    <w:p w14:paraId="40A4F8F8" w14:textId="7F9458A9" w:rsidR="00A60BA5" w:rsidRDefault="00A60BA5" w:rsidP="00756743">
      <w:pPr>
        <w:spacing w:line="0" w:lineRule="atLeast"/>
        <w:ind w:right="-19"/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</w:pPr>
      <w:r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  <w:t>Profesora: Diana García</w:t>
      </w:r>
    </w:p>
    <w:p w14:paraId="518F83DD" w14:textId="791A5988" w:rsidR="00A60BA5" w:rsidRDefault="00A60BA5" w:rsidP="00756743">
      <w:pPr>
        <w:spacing w:line="0" w:lineRule="atLeast"/>
        <w:ind w:right="-19"/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</w:pPr>
      <w:r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  <w:t>Curso: 2° C. Básico</w:t>
      </w:r>
    </w:p>
    <w:p w14:paraId="02E9A647" w14:textId="375273DD" w:rsidR="00A60BA5" w:rsidRDefault="00A60BA5" w:rsidP="00756743">
      <w:pPr>
        <w:spacing w:line="0" w:lineRule="atLeast"/>
        <w:ind w:right="-19"/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</w:pPr>
      <w:r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  <w:t>Segundo cuatrimestre</w:t>
      </w:r>
    </w:p>
    <w:p w14:paraId="740CDD77" w14:textId="77777777" w:rsidR="00A60BA5" w:rsidRDefault="00A60BA5" w:rsidP="00756743">
      <w:pPr>
        <w:spacing w:line="0" w:lineRule="atLeast"/>
        <w:ind w:right="-19"/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</w:pPr>
    </w:p>
    <w:p w14:paraId="17910CFA" w14:textId="0FF02F6F" w:rsidR="00756743" w:rsidRPr="0001022A" w:rsidRDefault="00756743" w:rsidP="00756743">
      <w:pPr>
        <w:spacing w:line="0" w:lineRule="atLeast"/>
        <w:ind w:right="-19"/>
        <w:jc w:val="center"/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</w:pPr>
      <w:r w:rsidRPr="0001022A">
        <w:rPr>
          <w:rFonts w:ascii="Lucida Sans" w:eastAsia="Bookman Old Style" w:hAnsi="Lucida Sans" w:cstheme="minorHAnsi"/>
          <w:color w:val="1F4E79" w:themeColor="accent5" w:themeShade="80"/>
          <w:sz w:val="28"/>
          <w:szCs w:val="28"/>
        </w:rPr>
        <w:t>DISTRIBUCIÓN DE LA POBLACIÓN DE AMÉRICA</w:t>
      </w:r>
    </w:p>
    <w:p w14:paraId="32AB97AE" w14:textId="77777777" w:rsidR="00756743" w:rsidRPr="0001022A" w:rsidRDefault="00756743" w:rsidP="00756743">
      <w:pPr>
        <w:spacing w:line="317" w:lineRule="exact"/>
        <w:rPr>
          <w:rFonts w:ascii="Lucida Sans" w:eastAsia="Times New Roman" w:hAnsi="Lucida Sans" w:cstheme="minorHAnsi"/>
          <w:color w:val="1F4E79" w:themeColor="accent5" w:themeShade="80"/>
          <w:sz w:val="28"/>
          <w:szCs w:val="28"/>
        </w:rPr>
      </w:pPr>
    </w:p>
    <w:p w14:paraId="7BE6C546" w14:textId="77777777" w:rsidR="00756743" w:rsidRPr="0001022A" w:rsidRDefault="00756743" w:rsidP="00756743">
      <w:pPr>
        <w:spacing w:line="238" w:lineRule="auto"/>
        <w:ind w:left="240" w:right="160" w:hanging="11"/>
        <w:jc w:val="both"/>
        <w:rPr>
          <w:rFonts w:eastAsia="Bookman Old Style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 xml:space="preserve">En América, como en los demás continentes, se presentan fuertes contrastes en la distribución geográfica de su población para ello es importante conocer la </w:t>
      </w:r>
      <w:r w:rsidRPr="0001022A">
        <w:rPr>
          <w:rFonts w:eastAsia="Bookman Old Style" w:cstheme="minorHAnsi"/>
          <w:b/>
          <w:sz w:val="24"/>
          <w:szCs w:val="24"/>
        </w:rPr>
        <w:t xml:space="preserve">densidad poblacional </w:t>
      </w:r>
      <w:r w:rsidRPr="0001022A">
        <w:rPr>
          <w:rFonts w:eastAsia="Bookman Old Style" w:cstheme="minorHAnsi"/>
          <w:sz w:val="24"/>
          <w:szCs w:val="24"/>
        </w:rPr>
        <w:t>que representa la carga demográfica que un territorio</w:t>
      </w:r>
      <w:r w:rsidRPr="0001022A">
        <w:rPr>
          <w:rFonts w:eastAsia="Bookman Old Style" w:cstheme="minorHAnsi"/>
          <w:b/>
          <w:sz w:val="24"/>
          <w:szCs w:val="24"/>
        </w:rPr>
        <w:t xml:space="preserve"> </w:t>
      </w:r>
      <w:r w:rsidRPr="0001022A">
        <w:rPr>
          <w:rFonts w:eastAsia="Bookman Old Style" w:cstheme="minorHAnsi"/>
          <w:sz w:val="24"/>
          <w:szCs w:val="24"/>
        </w:rPr>
        <w:t>sostiene. Se expresa en número de habitantes por km2.</w:t>
      </w:r>
    </w:p>
    <w:p w14:paraId="5F2B112E" w14:textId="77777777" w:rsidR="00756743" w:rsidRPr="0001022A" w:rsidRDefault="00756743" w:rsidP="00756743">
      <w:pPr>
        <w:spacing w:line="0" w:lineRule="atLeast"/>
        <w:ind w:left="220"/>
        <w:rPr>
          <w:rFonts w:eastAsia="Bookman Old Style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Se distinguen:</w:t>
      </w:r>
    </w:p>
    <w:p w14:paraId="123EEA34" w14:textId="77777777" w:rsidR="00756743" w:rsidRPr="0001022A" w:rsidRDefault="00756743" w:rsidP="00756743">
      <w:pPr>
        <w:spacing w:line="0" w:lineRule="atLeast"/>
        <w:ind w:left="220"/>
        <w:rPr>
          <w:rFonts w:eastAsia="Bookman Old Style" w:cstheme="minorHAnsi"/>
          <w:b/>
          <w:sz w:val="24"/>
          <w:szCs w:val="24"/>
          <w:u w:val="single"/>
        </w:rPr>
      </w:pPr>
      <w:r w:rsidRPr="0001022A">
        <w:rPr>
          <w:rFonts w:eastAsia="Bookman Old Style" w:cstheme="minorHAnsi"/>
          <w:b/>
          <w:sz w:val="24"/>
          <w:szCs w:val="24"/>
          <w:u w:val="single"/>
        </w:rPr>
        <w:t>Grandes focos de concentración:</w:t>
      </w:r>
    </w:p>
    <w:p w14:paraId="12AB943A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4" w:lineRule="auto"/>
        <w:ind w:left="24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La megalópolis atlántica, desde Boston hasta Washington (BOSWASH), con alrededor de 50 millones de habitantes.</w:t>
      </w:r>
    </w:p>
    <w:p w14:paraId="5B62258C" w14:textId="77777777" w:rsidR="00756743" w:rsidRPr="0001022A" w:rsidRDefault="00756743" w:rsidP="00756743">
      <w:pPr>
        <w:spacing w:line="26" w:lineRule="exact"/>
        <w:rPr>
          <w:rFonts w:eastAsia="Symbol" w:cstheme="minorHAnsi"/>
          <w:sz w:val="24"/>
          <w:szCs w:val="24"/>
        </w:rPr>
      </w:pPr>
    </w:p>
    <w:p w14:paraId="5F4759B4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0" w:lineRule="auto"/>
        <w:ind w:left="24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área de los Grandes Lagos, especialmente desde Detroit a Chicago y la margen izquierda del río San Lorenzo.</w:t>
      </w:r>
    </w:p>
    <w:p w14:paraId="4F49332B" w14:textId="77777777" w:rsidR="00756743" w:rsidRPr="0001022A" w:rsidRDefault="00756743" w:rsidP="00756743">
      <w:pPr>
        <w:spacing w:line="35" w:lineRule="exact"/>
        <w:rPr>
          <w:rFonts w:eastAsia="Symbol" w:cstheme="minorHAnsi"/>
          <w:sz w:val="24"/>
          <w:szCs w:val="24"/>
        </w:rPr>
      </w:pPr>
    </w:p>
    <w:p w14:paraId="463CDE39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0" w:lineRule="auto"/>
        <w:ind w:left="24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sudoeste de los Estados Unidos, teniendo por centros las ciudades de San Francisco, Los Ángeles y San Diego. (Megalópolis de SAN-SAN)</w:t>
      </w:r>
    </w:p>
    <w:p w14:paraId="2826163D" w14:textId="77777777" w:rsidR="00756743" w:rsidRPr="0001022A" w:rsidRDefault="00756743" w:rsidP="00756743">
      <w:pPr>
        <w:spacing w:line="35" w:lineRule="exact"/>
        <w:rPr>
          <w:rFonts w:eastAsia="Symbol" w:cstheme="minorHAnsi"/>
          <w:sz w:val="24"/>
          <w:szCs w:val="24"/>
        </w:rPr>
      </w:pPr>
    </w:p>
    <w:p w14:paraId="582FDA5B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8" w:lineRule="auto"/>
        <w:ind w:left="240" w:firstLine="129"/>
        <w:jc w:val="both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eje urbano industrial, en la meseta central de México, que aloja a la ciudad homónima, que será la mayor aglomeración urbana del mundo a principios del siglo XXI.</w:t>
      </w:r>
    </w:p>
    <w:p w14:paraId="3ED8B7BD" w14:textId="77777777" w:rsidR="00756743" w:rsidRPr="0001022A" w:rsidRDefault="00756743" w:rsidP="00756743">
      <w:pPr>
        <w:spacing w:line="23" w:lineRule="exact"/>
        <w:rPr>
          <w:rFonts w:eastAsia="Symbol" w:cstheme="minorHAnsi"/>
          <w:sz w:val="24"/>
          <w:szCs w:val="24"/>
        </w:rPr>
      </w:pPr>
    </w:p>
    <w:p w14:paraId="1B0DAFF8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0" w:lineRule="auto"/>
        <w:ind w:left="24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América central insular, donde algunas islas ofrecen altísimas densidades demográficas, de entre 400 y 600 habitantes por kilómetros cuadrados.</w:t>
      </w:r>
    </w:p>
    <w:p w14:paraId="77247C8E" w14:textId="77777777" w:rsidR="00756743" w:rsidRPr="0001022A" w:rsidRDefault="00756743" w:rsidP="00756743">
      <w:pPr>
        <w:spacing w:line="35" w:lineRule="exact"/>
        <w:rPr>
          <w:rFonts w:eastAsia="Symbol" w:cstheme="minorHAnsi"/>
          <w:sz w:val="24"/>
          <w:szCs w:val="24"/>
        </w:rPr>
      </w:pPr>
    </w:p>
    <w:p w14:paraId="4DCB4E05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0" w:lineRule="auto"/>
        <w:ind w:left="24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corredor industrial del Brasil, por aproximadamente 400 kilómetros, que se extiende desde Río de Janeiro a San Pablo.</w:t>
      </w:r>
    </w:p>
    <w:p w14:paraId="0B7CE82B" w14:textId="77777777" w:rsidR="00756743" w:rsidRPr="0001022A" w:rsidRDefault="00756743" w:rsidP="00756743">
      <w:pPr>
        <w:spacing w:line="35" w:lineRule="exact"/>
        <w:rPr>
          <w:rFonts w:eastAsia="Symbol" w:cstheme="minorHAnsi"/>
          <w:sz w:val="24"/>
          <w:szCs w:val="24"/>
        </w:rPr>
      </w:pPr>
    </w:p>
    <w:p w14:paraId="51E35EA3" w14:textId="77777777" w:rsidR="00756743" w:rsidRPr="0001022A" w:rsidRDefault="00756743" w:rsidP="00756743">
      <w:pPr>
        <w:numPr>
          <w:ilvl w:val="0"/>
          <w:numId w:val="1"/>
        </w:numPr>
        <w:tabs>
          <w:tab w:val="left" w:pos="948"/>
        </w:tabs>
        <w:spacing w:after="0" w:line="260" w:lineRule="auto"/>
        <w:ind w:left="24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“frente industrial argentino”, desde la localidad de San Lorenzo en la provincia de Santa Fe, hasta La Plata.</w:t>
      </w:r>
    </w:p>
    <w:p w14:paraId="1AB262B7" w14:textId="77777777" w:rsidR="00756743" w:rsidRPr="0001022A" w:rsidRDefault="00756743" w:rsidP="00756743">
      <w:pPr>
        <w:spacing w:line="308" w:lineRule="exact"/>
        <w:rPr>
          <w:rFonts w:eastAsia="Times New Roman" w:cstheme="minorHAnsi"/>
          <w:sz w:val="24"/>
          <w:szCs w:val="24"/>
        </w:rPr>
      </w:pPr>
      <w:bookmarkStart w:id="0" w:name="page66"/>
      <w:bookmarkEnd w:id="0"/>
    </w:p>
    <w:p w14:paraId="4881D59B" w14:textId="77777777" w:rsidR="00756743" w:rsidRPr="0001022A" w:rsidRDefault="00756743" w:rsidP="00756743">
      <w:pPr>
        <w:spacing w:line="0" w:lineRule="atLeast"/>
        <w:ind w:left="200"/>
        <w:rPr>
          <w:rFonts w:eastAsia="Times New Roman" w:cstheme="minorHAnsi"/>
          <w:sz w:val="24"/>
          <w:szCs w:val="24"/>
        </w:rPr>
      </w:pPr>
      <w:r w:rsidRPr="0001022A">
        <w:rPr>
          <w:rFonts w:eastAsia="Bookman Old Style" w:cstheme="minorHAnsi"/>
          <w:b/>
          <w:sz w:val="24"/>
          <w:szCs w:val="24"/>
          <w:u w:val="single"/>
        </w:rPr>
        <w:t>Áreas con muy bajas densidades:</w:t>
      </w:r>
    </w:p>
    <w:p w14:paraId="37EC6DF5" w14:textId="77777777" w:rsidR="00756743" w:rsidRPr="0001022A" w:rsidRDefault="00756743" w:rsidP="00756743">
      <w:pPr>
        <w:numPr>
          <w:ilvl w:val="0"/>
          <w:numId w:val="2"/>
        </w:numPr>
        <w:tabs>
          <w:tab w:val="left" w:pos="924"/>
        </w:tabs>
        <w:spacing w:after="0" w:line="264" w:lineRule="auto"/>
        <w:ind w:left="36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Ártico americano, cuyas bajas temperaturas hacen que esta región sea un gran vacío demográfico.</w:t>
      </w:r>
    </w:p>
    <w:p w14:paraId="044310E5" w14:textId="77777777" w:rsidR="00756743" w:rsidRPr="0001022A" w:rsidRDefault="00756743" w:rsidP="00756743">
      <w:pPr>
        <w:spacing w:line="11" w:lineRule="exact"/>
        <w:rPr>
          <w:rFonts w:eastAsia="Symbol" w:cstheme="minorHAnsi"/>
          <w:sz w:val="24"/>
          <w:szCs w:val="24"/>
        </w:rPr>
      </w:pPr>
    </w:p>
    <w:p w14:paraId="1BEBE035" w14:textId="77777777" w:rsidR="00756743" w:rsidRPr="0001022A" w:rsidRDefault="00756743" w:rsidP="00756743">
      <w:pPr>
        <w:numPr>
          <w:ilvl w:val="0"/>
          <w:numId w:val="2"/>
        </w:numPr>
        <w:tabs>
          <w:tab w:val="left" w:pos="920"/>
        </w:tabs>
        <w:spacing w:after="0" w:line="0" w:lineRule="atLeast"/>
        <w:ind w:left="920" w:hanging="431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Los desiertos del oeste de Estados Unidos.</w:t>
      </w:r>
    </w:p>
    <w:p w14:paraId="430521E0" w14:textId="77777777" w:rsidR="00756743" w:rsidRPr="0001022A" w:rsidRDefault="00756743" w:rsidP="00756743">
      <w:pPr>
        <w:spacing w:line="54" w:lineRule="exact"/>
        <w:rPr>
          <w:rFonts w:eastAsia="Symbol" w:cstheme="minorHAnsi"/>
          <w:sz w:val="24"/>
          <w:szCs w:val="24"/>
        </w:rPr>
      </w:pPr>
    </w:p>
    <w:p w14:paraId="36F1794C" w14:textId="77777777" w:rsidR="00756743" w:rsidRPr="0001022A" w:rsidRDefault="00756743" w:rsidP="00756743">
      <w:pPr>
        <w:numPr>
          <w:ilvl w:val="0"/>
          <w:numId w:val="2"/>
        </w:numPr>
        <w:tabs>
          <w:tab w:val="left" w:pos="924"/>
        </w:tabs>
        <w:spacing w:after="0" w:line="263" w:lineRule="auto"/>
        <w:ind w:left="36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lastRenderedPageBreak/>
        <w:t>La Amazonia, donde las altas temperaturas y la humedad dificultan el establecimiento de la población.</w:t>
      </w:r>
    </w:p>
    <w:p w14:paraId="68C73A2A" w14:textId="77777777" w:rsidR="00756743" w:rsidRPr="0001022A" w:rsidRDefault="00756743" w:rsidP="00756743">
      <w:pPr>
        <w:spacing w:line="28" w:lineRule="exact"/>
        <w:rPr>
          <w:rFonts w:eastAsia="Symbol" w:cstheme="minorHAnsi"/>
          <w:sz w:val="24"/>
          <w:szCs w:val="24"/>
        </w:rPr>
      </w:pPr>
    </w:p>
    <w:p w14:paraId="3E0F4A21" w14:textId="77777777" w:rsidR="00756743" w:rsidRPr="0001022A" w:rsidRDefault="00756743" w:rsidP="00756743">
      <w:pPr>
        <w:numPr>
          <w:ilvl w:val="0"/>
          <w:numId w:val="2"/>
        </w:numPr>
        <w:tabs>
          <w:tab w:val="left" w:pos="924"/>
        </w:tabs>
        <w:spacing w:after="0" w:line="260" w:lineRule="auto"/>
        <w:ind w:left="360" w:firstLine="129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Gran Pantanal de Xarayes, en la cuenca del río Paraguay, por ser una zona baja e inundable de alrededor de 80.000 km2.</w:t>
      </w:r>
    </w:p>
    <w:p w14:paraId="6B9BAAE7" w14:textId="77777777" w:rsidR="00756743" w:rsidRPr="0001022A" w:rsidRDefault="00756743" w:rsidP="00756743">
      <w:pPr>
        <w:spacing w:line="20" w:lineRule="exact"/>
        <w:rPr>
          <w:rFonts w:eastAsia="Symbol" w:cstheme="minorHAnsi"/>
          <w:sz w:val="24"/>
          <w:szCs w:val="24"/>
        </w:rPr>
      </w:pPr>
    </w:p>
    <w:p w14:paraId="4DF854BB" w14:textId="77777777" w:rsidR="00756743" w:rsidRPr="0001022A" w:rsidRDefault="00756743" w:rsidP="00756743">
      <w:pPr>
        <w:numPr>
          <w:ilvl w:val="0"/>
          <w:numId w:val="2"/>
        </w:numPr>
        <w:tabs>
          <w:tab w:val="left" w:pos="920"/>
        </w:tabs>
        <w:spacing w:after="0" w:line="0" w:lineRule="atLeast"/>
        <w:ind w:left="920" w:hanging="431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La diagonal árida de América del Sur.</w:t>
      </w:r>
    </w:p>
    <w:p w14:paraId="4AD76AAA" w14:textId="77777777" w:rsidR="00756743" w:rsidRPr="0001022A" w:rsidRDefault="00756743" w:rsidP="00756743">
      <w:pPr>
        <w:spacing w:line="320" w:lineRule="exact"/>
        <w:rPr>
          <w:rFonts w:eastAsia="Times New Roman" w:cstheme="minorHAnsi"/>
          <w:sz w:val="24"/>
          <w:szCs w:val="24"/>
        </w:rPr>
      </w:pPr>
    </w:p>
    <w:p w14:paraId="4523E8B4" w14:textId="77777777" w:rsidR="00756743" w:rsidRPr="0001022A" w:rsidRDefault="00756743" w:rsidP="00756743">
      <w:pPr>
        <w:spacing w:line="0" w:lineRule="atLeast"/>
        <w:ind w:left="220"/>
        <w:rPr>
          <w:rFonts w:eastAsia="Bookman Old Style" w:cstheme="minorHAnsi"/>
          <w:b/>
          <w:sz w:val="24"/>
          <w:szCs w:val="24"/>
          <w:u w:val="single"/>
        </w:rPr>
      </w:pPr>
      <w:r w:rsidRPr="0001022A">
        <w:rPr>
          <w:rFonts w:eastAsia="Bookman Old Style" w:cstheme="minorHAnsi"/>
          <w:b/>
          <w:sz w:val="24"/>
          <w:szCs w:val="24"/>
          <w:u w:val="single"/>
        </w:rPr>
        <w:t>Densidades demográficas intermedias:</w:t>
      </w:r>
    </w:p>
    <w:p w14:paraId="0DA31F47" w14:textId="77777777" w:rsidR="00756743" w:rsidRPr="0001022A" w:rsidRDefault="00756743" w:rsidP="00756743">
      <w:pPr>
        <w:numPr>
          <w:ilvl w:val="0"/>
          <w:numId w:val="3"/>
        </w:numPr>
        <w:tabs>
          <w:tab w:val="left" w:pos="924"/>
        </w:tabs>
        <w:spacing w:after="0" w:line="266" w:lineRule="auto"/>
        <w:ind w:left="360" w:right="200" w:firstLine="129"/>
        <w:jc w:val="both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Las llanuras centrales de América Anglosajona, dedicadas especialmente a la actividad agrícola ganadera, aunque con algunas ciudades millonarias como Denver, Dallas, Kansas City, Houston, etc.</w:t>
      </w:r>
    </w:p>
    <w:p w14:paraId="45F3B11F" w14:textId="77777777" w:rsidR="00756743" w:rsidRPr="0001022A" w:rsidRDefault="00756743" w:rsidP="00756743">
      <w:pPr>
        <w:spacing w:line="15" w:lineRule="exact"/>
        <w:rPr>
          <w:rFonts w:eastAsia="Symbol" w:cstheme="minorHAnsi"/>
          <w:sz w:val="24"/>
          <w:szCs w:val="24"/>
        </w:rPr>
      </w:pPr>
    </w:p>
    <w:p w14:paraId="30DED34C" w14:textId="77777777" w:rsidR="00756743" w:rsidRPr="0001022A" w:rsidRDefault="00756743" w:rsidP="00756743">
      <w:pPr>
        <w:numPr>
          <w:ilvl w:val="0"/>
          <w:numId w:val="3"/>
        </w:numPr>
        <w:tabs>
          <w:tab w:val="left" w:pos="920"/>
        </w:tabs>
        <w:spacing w:after="0" w:line="0" w:lineRule="atLeast"/>
        <w:ind w:left="920" w:hanging="431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Valle Central de Chile, donde se encuentra Santiago.</w:t>
      </w:r>
    </w:p>
    <w:p w14:paraId="6F5CC6B3" w14:textId="77777777" w:rsidR="00756743" w:rsidRPr="0001022A" w:rsidRDefault="00756743" w:rsidP="00756743">
      <w:pPr>
        <w:spacing w:line="39" w:lineRule="exact"/>
        <w:rPr>
          <w:rFonts w:eastAsia="Symbol" w:cstheme="minorHAnsi"/>
          <w:sz w:val="24"/>
          <w:szCs w:val="24"/>
        </w:rPr>
      </w:pPr>
    </w:p>
    <w:p w14:paraId="553FB4CA" w14:textId="77777777" w:rsidR="00756743" w:rsidRPr="0001022A" w:rsidRDefault="00756743" w:rsidP="00756743">
      <w:pPr>
        <w:numPr>
          <w:ilvl w:val="0"/>
          <w:numId w:val="3"/>
        </w:numPr>
        <w:tabs>
          <w:tab w:val="left" w:pos="920"/>
        </w:tabs>
        <w:spacing w:after="0" w:line="0" w:lineRule="atLeast"/>
        <w:ind w:left="920" w:hanging="431"/>
        <w:rPr>
          <w:rFonts w:eastAsia="Symbol" w:cstheme="minorHAnsi"/>
          <w:sz w:val="24"/>
          <w:szCs w:val="24"/>
        </w:rPr>
      </w:pPr>
      <w:r w:rsidRPr="0001022A">
        <w:rPr>
          <w:rFonts w:eastAsia="Bookman Old Style" w:cstheme="minorHAnsi"/>
          <w:sz w:val="24"/>
          <w:szCs w:val="24"/>
        </w:rPr>
        <w:t>El altiplano boliviano, con las ciudades de La Paz y Sucre.</w:t>
      </w:r>
    </w:p>
    <w:p w14:paraId="08079BA7" w14:textId="77777777" w:rsidR="00756743" w:rsidRPr="0001022A" w:rsidRDefault="00756743" w:rsidP="00756743">
      <w:pPr>
        <w:spacing w:line="20" w:lineRule="exact"/>
        <w:rPr>
          <w:rFonts w:eastAsia="Times New Roman" w:cstheme="minorHAnsi"/>
          <w:sz w:val="24"/>
          <w:szCs w:val="24"/>
        </w:rPr>
      </w:pPr>
    </w:p>
    <w:p w14:paraId="26EB0938" w14:textId="77777777" w:rsidR="00756743" w:rsidRPr="0001022A" w:rsidRDefault="00756743" w:rsidP="00756743">
      <w:pPr>
        <w:spacing w:line="93" w:lineRule="exact"/>
        <w:rPr>
          <w:rFonts w:eastAsia="Times New Roman" w:cstheme="minorHAnsi"/>
          <w:sz w:val="24"/>
          <w:szCs w:val="24"/>
        </w:rPr>
      </w:pPr>
    </w:p>
    <w:p w14:paraId="21CD81FC" w14:textId="77777777" w:rsidR="00756743" w:rsidRPr="0001022A" w:rsidRDefault="00756743" w:rsidP="00756743">
      <w:pPr>
        <w:spacing w:line="248" w:lineRule="auto"/>
        <w:ind w:left="940" w:right="200" w:hanging="360"/>
        <w:rPr>
          <w:rFonts w:eastAsia="Bookman Old Style" w:cstheme="minorHAnsi"/>
          <w:color w:val="385623" w:themeColor="accent6" w:themeShade="80"/>
          <w:sz w:val="24"/>
          <w:szCs w:val="24"/>
        </w:rPr>
      </w:pPr>
      <w:r w:rsidRPr="0001022A">
        <w:rPr>
          <w:rFonts w:eastAsia="Bookman Old Style" w:cstheme="minorHAnsi"/>
          <w:color w:val="385623" w:themeColor="accent6" w:themeShade="80"/>
          <w:sz w:val="24"/>
          <w:szCs w:val="24"/>
        </w:rPr>
        <w:t>1- Observa e interpreta el mapa de densidad de la población y principales centros urbanos de América.</w:t>
      </w:r>
    </w:p>
    <w:p w14:paraId="640075D0" w14:textId="77777777" w:rsidR="00756743" w:rsidRPr="0001022A" w:rsidRDefault="00756743" w:rsidP="00756743">
      <w:pPr>
        <w:spacing w:line="2" w:lineRule="exact"/>
        <w:rPr>
          <w:rFonts w:eastAsia="Times New Roman" w:cstheme="minorHAnsi"/>
          <w:color w:val="385623" w:themeColor="accent6" w:themeShade="80"/>
          <w:sz w:val="24"/>
          <w:szCs w:val="24"/>
        </w:rPr>
      </w:pPr>
    </w:p>
    <w:p w14:paraId="00B4A188" w14:textId="77777777" w:rsidR="00756743" w:rsidRDefault="00756743" w:rsidP="00756743">
      <w:pPr>
        <w:spacing w:line="248" w:lineRule="auto"/>
        <w:ind w:left="940" w:right="200"/>
        <w:rPr>
          <w:rFonts w:eastAsia="Bookman Old Style" w:cstheme="minorHAnsi"/>
          <w:color w:val="385623" w:themeColor="accent6" w:themeShade="80"/>
          <w:sz w:val="24"/>
          <w:szCs w:val="24"/>
        </w:rPr>
      </w:pPr>
      <w:r w:rsidRPr="0001022A">
        <w:rPr>
          <w:rFonts w:eastAsia="Bookman Old Style" w:cstheme="minorHAnsi"/>
          <w:color w:val="385623" w:themeColor="accent6" w:themeShade="80"/>
          <w:sz w:val="24"/>
          <w:szCs w:val="24"/>
        </w:rPr>
        <w:t>a-¿Dónde se localizan las mayores y dónde las menores densidades de América? ¿Por qué?</w:t>
      </w:r>
    </w:p>
    <w:p w14:paraId="2CA58046" w14:textId="77777777" w:rsidR="00756743" w:rsidRPr="0001022A" w:rsidRDefault="00756743" w:rsidP="00756743">
      <w:pPr>
        <w:spacing w:line="248" w:lineRule="auto"/>
        <w:ind w:left="940" w:right="200"/>
        <w:rPr>
          <w:rFonts w:eastAsia="Bookman Old Style" w:cstheme="minorHAnsi"/>
          <w:color w:val="385623" w:themeColor="accent6" w:themeShade="80"/>
          <w:sz w:val="24"/>
          <w:szCs w:val="24"/>
        </w:rPr>
      </w:pPr>
    </w:p>
    <w:p w14:paraId="6436DB2A" w14:textId="77777777" w:rsidR="00756743" w:rsidRPr="0001022A" w:rsidRDefault="00756743" w:rsidP="00756743">
      <w:pPr>
        <w:spacing w:line="20" w:lineRule="exact"/>
        <w:rPr>
          <w:rFonts w:eastAsia="Times New Roman" w:cstheme="minorHAnsi"/>
          <w:sz w:val="24"/>
          <w:szCs w:val="24"/>
        </w:rPr>
      </w:pPr>
      <w:r w:rsidRPr="0001022A">
        <w:rPr>
          <w:rFonts w:eastAsia="Bookman Old Style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CAC8C85" wp14:editId="3297AC66">
            <wp:simplePos x="0" y="0"/>
            <wp:positionH relativeFrom="column">
              <wp:posOffset>289904</wp:posOffset>
            </wp:positionH>
            <wp:positionV relativeFrom="paragraph">
              <wp:posOffset>12791</wp:posOffset>
            </wp:positionV>
            <wp:extent cx="4078896" cy="5254171"/>
            <wp:effectExtent l="19050" t="0" r="0" b="0"/>
            <wp:wrapNone/>
            <wp:docPr id="2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058" cy="5267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82C884" w14:textId="77777777" w:rsidR="00756743" w:rsidRDefault="00756743" w:rsidP="00756743">
      <w:pPr>
        <w:spacing w:line="20" w:lineRule="exact"/>
        <w:rPr>
          <w:rFonts w:eastAsia="Times New Roman" w:cstheme="minorHAnsi"/>
          <w:sz w:val="24"/>
          <w:szCs w:val="24"/>
        </w:rPr>
      </w:pPr>
    </w:p>
    <w:p w14:paraId="5F534179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1803B0C7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60A17265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2CAE7E0F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3D26D878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164B5754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6361DBEC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3C3EE598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3E7D011A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5CA01038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039B2304" w14:textId="77777777" w:rsidR="00756743" w:rsidRPr="007859B7" w:rsidRDefault="00756743" w:rsidP="00756743">
      <w:pPr>
        <w:rPr>
          <w:rFonts w:eastAsia="Times New Roman" w:cstheme="minorHAnsi"/>
          <w:sz w:val="24"/>
          <w:szCs w:val="24"/>
        </w:rPr>
      </w:pPr>
    </w:p>
    <w:p w14:paraId="719B0ECA" w14:textId="77777777" w:rsidR="00756743" w:rsidRDefault="00756743" w:rsidP="00756743">
      <w:pPr>
        <w:rPr>
          <w:rFonts w:eastAsia="Times New Roman" w:cstheme="minorHAnsi"/>
          <w:sz w:val="24"/>
          <w:szCs w:val="24"/>
        </w:rPr>
      </w:pPr>
    </w:p>
    <w:p w14:paraId="64936061" w14:textId="788E8E26" w:rsidR="00756743" w:rsidRPr="0001022A" w:rsidRDefault="00756743" w:rsidP="00756743">
      <w:pPr>
        <w:tabs>
          <w:tab w:val="left" w:pos="7657"/>
        </w:tabs>
        <w:rPr>
          <w:rFonts w:cstheme="minorHAnsi"/>
          <w:sz w:val="24"/>
          <w:szCs w:val="24"/>
        </w:rPr>
      </w:pPr>
      <w:bookmarkStart w:id="1" w:name="page67"/>
      <w:bookmarkEnd w:id="1"/>
    </w:p>
    <w:p w14:paraId="04E552F7" w14:textId="77777777" w:rsidR="00756743" w:rsidRPr="0001022A" w:rsidRDefault="00756743" w:rsidP="00756743">
      <w:pPr>
        <w:ind w:right="-199"/>
        <w:rPr>
          <w:rFonts w:eastAsia="Bookman Old Style" w:cstheme="minorHAnsi"/>
          <w:b/>
          <w:sz w:val="24"/>
          <w:szCs w:val="24"/>
          <w:u w:val="single"/>
        </w:rPr>
      </w:pPr>
    </w:p>
    <w:p w14:paraId="3370C876" w14:textId="77777777" w:rsidR="00871A6C" w:rsidRDefault="00871A6C"/>
    <w:sectPr w:rsidR="00871A6C" w:rsidSect="00874CF2">
      <w:headerReference w:type="default" r:id="rId6"/>
      <w:footerReference w:type="default" r:id="rId7"/>
      <w:pgSz w:w="11906" w:h="16838"/>
      <w:pgMar w:top="716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E51C" w14:textId="77777777" w:rsidR="005444C0" w:rsidRPr="005444C0" w:rsidRDefault="00A60BA5">
    <w:pPr>
      <w:pStyle w:val="Piedepgina"/>
      <w:rPr>
        <w:i/>
      </w:rPr>
    </w:pPr>
    <w:r w:rsidRPr="005444C0">
      <w:rPr>
        <w:i/>
      </w:rPr>
      <w:t>PROFESORA: DIANA GARCÍA</w:t>
    </w:r>
  </w:p>
  <w:p w14:paraId="261B640D" w14:textId="77777777" w:rsidR="005444C0" w:rsidRPr="005444C0" w:rsidRDefault="00A60BA5">
    <w:pPr>
      <w:pStyle w:val="Piedepgina"/>
      <w:rPr>
        <w:i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960C" w14:textId="77777777" w:rsidR="00874CF2" w:rsidRPr="00E4234B" w:rsidRDefault="00A60BA5" w:rsidP="00874CF2">
    <w:pPr>
      <w:pStyle w:val="Encabezado"/>
      <w:tabs>
        <w:tab w:val="clear" w:pos="4252"/>
        <w:tab w:val="clear" w:pos="8504"/>
        <w:tab w:val="left" w:pos="3399"/>
      </w:tabs>
      <w:jc w:val="center"/>
      <w:rPr>
        <w:rFonts w:ascii="Eras Light ITC" w:hAnsi="Eras Light ITC"/>
        <w:b/>
        <w:sz w:val="32"/>
        <w:szCs w:val="32"/>
      </w:rPr>
    </w:pPr>
    <w:r w:rsidRPr="00E4234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ECD2C43" wp14:editId="0027FE4E">
          <wp:simplePos x="0" y="0"/>
          <wp:positionH relativeFrom="column">
            <wp:posOffset>4770755</wp:posOffset>
          </wp:positionH>
          <wp:positionV relativeFrom="paragraph">
            <wp:posOffset>52705</wp:posOffset>
          </wp:positionV>
          <wp:extent cx="631190" cy="568325"/>
          <wp:effectExtent l="19050" t="0" r="0" b="0"/>
          <wp:wrapTight wrapText="bothSides">
            <wp:wrapPolygon edited="0">
              <wp:start x="-652" y="0"/>
              <wp:lineTo x="-652" y="20997"/>
              <wp:lineTo x="21513" y="20997"/>
              <wp:lineTo x="21513" y="0"/>
              <wp:lineTo x="-652" y="0"/>
            </wp:wrapPolygon>
          </wp:wrapTight>
          <wp:docPr id="1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4234B">
      <w:rPr>
        <w:rFonts w:ascii="Eras Light ITC" w:hAnsi="Eras Light ITC"/>
        <w:b/>
        <w:sz w:val="32"/>
        <w:szCs w:val="32"/>
      </w:rPr>
      <w:t>COLEGIO SAN BERNARDO</w:t>
    </w:r>
  </w:p>
  <w:p w14:paraId="27325820" w14:textId="77777777" w:rsidR="00874CF2" w:rsidRDefault="00A60BA5" w:rsidP="00874CF2">
    <w:pPr>
      <w:pStyle w:val="Encabezado"/>
      <w:tabs>
        <w:tab w:val="clear" w:pos="4252"/>
        <w:tab w:val="clear" w:pos="8504"/>
        <w:tab w:val="left" w:pos="3399"/>
      </w:tabs>
      <w:jc w:val="center"/>
      <w:rPr>
        <w:rFonts w:ascii="Eras Light ITC" w:hAnsi="Eras Light ITC"/>
        <w:b/>
        <w:sz w:val="32"/>
        <w:szCs w:val="32"/>
      </w:rPr>
    </w:pPr>
    <w:r w:rsidRPr="00E4234B">
      <w:rPr>
        <w:rFonts w:ascii="Eras Light ITC" w:hAnsi="Eras Light ITC"/>
        <w:b/>
        <w:sz w:val="32"/>
        <w:szCs w:val="32"/>
      </w:rPr>
      <w:t>SECUNDARIO BÁSICO Y ORIENTADO</w:t>
    </w:r>
  </w:p>
  <w:p w14:paraId="516B9093" w14:textId="77777777" w:rsidR="005444C0" w:rsidRPr="00E4234B" w:rsidRDefault="00A60BA5" w:rsidP="00874CF2">
    <w:pPr>
      <w:pStyle w:val="Encabezado"/>
      <w:tabs>
        <w:tab w:val="clear" w:pos="4252"/>
        <w:tab w:val="clear" w:pos="8504"/>
        <w:tab w:val="left" w:pos="3399"/>
      </w:tabs>
      <w:jc w:val="center"/>
      <w:rPr>
        <w:rFonts w:ascii="Eras Light ITC" w:hAnsi="Eras Light ITC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9DC6411E"/>
    <w:lvl w:ilvl="0" w:tplc="F26E287A">
      <w:numFmt w:val="bullet"/>
      <w:lvlText w:val="•"/>
      <w:lvlJc w:val="left"/>
      <w:rPr>
        <w:rFonts w:ascii="Arial" w:eastAsia="Arial" w:hAnsi="Arial" w:cs="Arial" w:hint="default"/>
        <w:b/>
        <w:bCs/>
        <w:color w:val="F5821F"/>
        <w:w w:val="103"/>
        <w:sz w:val="26"/>
        <w:szCs w:val="26"/>
        <w:lang w:val="es-ES" w:eastAsia="en-US" w:bidi="ar-SA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AB346A1C"/>
    <w:lvl w:ilvl="0" w:tplc="F26E287A">
      <w:numFmt w:val="bullet"/>
      <w:lvlText w:val="•"/>
      <w:lvlJc w:val="left"/>
      <w:rPr>
        <w:rFonts w:ascii="Arial" w:eastAsia="Arial" w:hAnsi="Arial" w:cs="Arial" w:hint="default"/>
        <w:b/>
        <w:bCs/>
        <w:color w:val="F5821F"/>
        <w:w w:val="103"/>
        <w:sz w:val="26"/>
        <w:szCs w:val="26"/>
        <w:lang w:val="es-ES" w:eastAsia="en-US" w:bidi="ar-SA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hybridMultilevel"/>
    <w:tmpl w:val="A0067E94"/>
    <w:lvl w:ilvl="0" w:tplc="F26E287A">
      <w:numFmt w:val="bullet"/>
      <w:lvlText w:val="•"/>
      <w:lvlJc w:val="left"/>
      <w:rPr>
        <w:rFonts w:ascii="Arial" w:eastAsia="Arial" w:hAnsi="Arial" w:cs="Arial" w:hint="default"/>
        <w:b/>
        <w:bCs/>
        <w:color w:val="F5821F"/>
        <w:w w:val="103"/>
        <w:sz w:val="26"/>
        <w:szCs w:val="26"/>
        <w:lang w:val="es-ES" w:eastAsia="en-US" w:bidi="ar-SA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43"/>
    <w:rsid w:val="00756743"/>
    <w:rsid w:val="00871A6C"/>
    <w:rsid w:val="00A6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435D"/>
  <w15:chartTrackingRefBased/>
  <w15:docId w15:val="{53B18EAB-BA62-4A89-B75B-2EBC8AB6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4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6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743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56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743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2025-10-30T00:54:00Z</dcterms:created>
  <dcterms:modified xsi:type="dcterms:W3CDTF">2025-10-30T00:57:00Z</dcterms:modified>
</cp:coreProperties>
</file>