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68C" w:rsidRDefault="0014641B">
      <w:pPr>
        <w:jc w:val="right"/>
      </w:pPr>
      <w:r>
        <w:rPr>
          <w:sz w:val="22"/>
          <w:szCs w:val="22"/>
        </w:rPr>
        <w:t xml:space="preserve">                                                                                                                              </w:t>
      </w:r>
    </w:p>
    <w:p w:rsidR="00D6468C" w:rsidRPr="00D02C67" w:rsidRDefault="0014641B">
      <w:pPr>
        <w:jc w:val="center"/>
        <w:rPr>
          <w:sz w:val="28"/>
          <w:szCs w:val="28"/>
        </w:rPr>
      </w:pPr>
      <w:r w:rsidRPr="00D02C67">
        <w:rPr>
          <w:b/>
          <w:bCs/>
          <w:sz w:val="28"/>
          <w:szCs w:val="28"/>
        </w:rPr>
        <w:t>COLEGIO SANTA ROSA DE LIMA</w:t>
      </w:r>
    </w:p>
    <w:p w:rsidR="00D6468C" w:rsidRPr="00D02C67" w:rsidRDefault="00D02C67" w:rsidP="00D02C67">
      <w:pPr>
        <w:jc w:val="center"/>
        <w:rPr>
          <w:sz w:val="28"/>
          <w:szCs w:val="28"/>
        </w:rPr>
      </w:pPr>
      <w:r w:rsidRPr="00D02C67">
        <w:rPr>
          <w:sz w:val="28"/>
          <w:szCs w:val="28"/>
        </w:rPr>
        <w:t>Formación Ética y Ciudadana</w:t>
      </w:r>
    </w:p>
    <w:p w:rsidR="00D02C67" w:rsidRPr="00D02C67" w:rsidRDefault="00D02C67" w:rsidP="00D02C67">
      <w:pPr>
        <w:jc w:val="center"/>
        <w:rPr>
          <w:sz w:val="28"/>
          <w:szCs w:val="28"/>
        </w:rPr>
      </w:pPr>
      <w:r w:rsidRPr="00D02C67">
        <w:rPr>
          <w:sz w:val="28"/>
          <w:szCs w:val="28"/>
        </w:rPr>
        <w:t>3° Ay B</w:t>
      </w:r>
    </w:p>
    <w:p w:rsidR="00D02C67" w:rsidRPr="00B676AB" w:rsidRDefault="00D02C67" w:rsidP="00D02C67">
      <w:pPr>
        <w:pStyle w:val="Ttulo2"/>
        <w:rPr>
          <w:sz w:val="24"/>
          <w:szCs w:val="24"/>
        </w:rPr>
      </w:pPr>
      <w:bookmarkStart w:id="0" w:name="_Toc194259595"/>
      <w:r w:rsidRPr="00B676AB">
        <w:rPr>
          <w:sz w:val="24"/>
          <w:szCs w:val="24"/>
        </w:rPr>
        <w:t>Constitución nacional</w:t>
      </w:r>
      <w:bookmarkEnd w:id="0"/>
    </w:p>
    <w:p w:rsidR="00D02C67" w:rsidRPr="00B676AB" w:rsidRDefault="00D02C67" w:rsidP="00D02C67">
      <w:pPr>
        <w:autoSpaceDE w:val="0"/>
        <w:autoSpaceDN w:val="0"/>
        <w:adjustRightInd w:val="0"/>
        <w:spacing w:line="360" w:lineRule="auto"/>
        <w:jc w:val="both"/>
      </w:pPr>
      <w:r w:rsidRPr="00B676AB">
        <w:t>El 1 de mayo de 1853 los representantes de todos los territorios de las Provincias Unidas del Río de la Plata, con excepción de Buenos Aires, sancionaron nuestra Constitución Nacional, dando origen de esa manera al Estado Argentino bajo un sistema de gobierno representativo, republicano y federal.</w:t>
      </w:r>
    </w:p>
    <w:p w:rsidR="00D02C67" w:rsidRPr="00B676AB" w:rsidRDefault="00D02C67" w:rsidP="00D02C67">
      <w:pPr>
        <w:numPr>
          <w:ilvl w:val="0"/>
          <w:numId w:val="1"/>
        </w:numPr>
        <w:autoSpaceDE w:val="0"/>
        <w:autoSpaceDN w:val="0"/>
        <w:adjustRightInd w:val="0"/>
        <w:spacing w:line="360" w:lineRule="auto"/>
        <w:contextualSpacing/>
        <w:jc w:val="both"/>
        <w:rPr>
          <w:b/>
          <w:bCs/>
        </w:rPr>
      </w:pPr>
      <w:r w:rsidRPr="00B676AB">
        <w:rPr>
          <w:b/>
          <w:bCs/>
        </w:rPr>
        <w:t xml:space="preserve">¿Qué es una Constitución? </w:t>
      </w:r>
      <w:r w:rsidRPr="00B676AB">
        <w:t xml:space="preserve">Es una </w:t>
      </w:r>
      <w:r w:rsidRPr="00B676AB">
        <w:rPr>
          <w:b/>
          <w:bCs/>
          <w:i/>
          <w:iCs/>
        </w:rPr>
        <w:t xml:space="preserve">ley fundamental </w:t>
      </w:r>
      <w:r w:rsidRPr="00B676AB">
        <w:t xml:space="preserve">– porque a partir de ella surge un Estado - y </w:t>
      </w:r>
      <w:r w:rsidRPr="00B676AB">
        <w:rPr>
          <w:b/>
          <w:bCs/>
          <w:i/>
          <w:iCs/>
        </w:rPr>
        <w:t xml:space="preserve">suprema </w:t>
      </w:r>
      <w:r w:rsidRPr="00B676AB">
        <w:t>– porque las demás leyes son consideradas inferiores y deben subordinarse a</w:t>
      </w:r>
      <w:r w:rsidRPr="00B676AB">
        <w:rPr>
          <w:b/>
          <w:bCs/>
          <w:i/>
          <w:iCs/>
        </w:rPr>
        <w:t xml:space="preserve"> </w:t>
      </w:r>
      <w:r w:rsidRPr="00B676AB">
        <w:t>ella-. En ella, los estados modernos basan toda su organización jurídica.</w:t>
      </w:r>
    </w:p>
    <w:p w:rsidR="00B676AB" w:rsidRPr="00B676AB" w:rsidRDefault="00D02C67" w:rsidP="00B676AB">
      <w:pPr>
        <w:numPr>
          <w:ilvl w:val="0"/>
          <w:numId w:val="1"/>
        </w:numPr>
        <w:autoSpaceDE w:val="0"/>
        <w:autoSpaceDN w:val="0"/>
        <w:adjustRightInd w:val="0"/>
        <w:spacing w:line="360" w:lineRule="auto"/>
        <w:contextualSpacing/>
        <w:jc w:val="both"/>
        <w:rPr>
          <w:b/>
          <w:bCs/>
        </w:rPr>
      </w:pPr>
      <w:r w:rsidRPr="00B676AB">
        <w:rPr>
          <w:b/>
          <w:bCs/>
        </w:rPr>
        <w:t xml:space="preserve">¿Para qué sirve una Constitución? </w:t>
      </w:r>
      <w:r w:rsidRPr="00B676AB">
        <w:t>Al contener las leyes acordadas para convivir respetándonos unos con otros, regula la organización y el ejercicio del poder, asegurándole a cada ciudadano el cumplimiento de sus derechos.</w:t>
      </w:r>
      <w:bookmarkStart w:id="1" w:name="_Toc194259596"/>
    </w:p>
    <w:bookmarkEnd w:id="1"/>
    <w:p w:rsidR="00B676AB" w:rsidRPr="00B676AB" w:rsidRDefault="00B676AB" w:rsidP="00B676AB">
      <w:pPr>
        <w:spacing w:line="360" w:lineRule="auto"/>
        <w:contextualSpacing/>
        <w:jc w:val="both"/>
        <w:rPr>
          <w:rFonts w:eastAsia="Calibri"/>
        </w:rPr>
      </w:pPr>
      <w:proofErr w:type="gramStart"/>
      <w:r w:rsidRPr="00B676AB">
        <w:rPr>
          <w:rFonts w:eastAsia="Calibri"/>
        </w:rPr>
        <w:t>definitiva</w:t>
      </w:r>
      <w:proofErr w:type="gramEnd"/>
      <w:r w:rsidRPr="00B676AB">
        <w:rPr>
          <w:rFonts w:eastAsia="Calibri"/>
        </w:rPr>
        <w:t xml:space="preserve"> del país y la modernización del Estado argentino de acuerdo con la Constitución de 1853, que fue reformada en 1860 en un Congreso en el que participó Buenos Aires.</w:t>
      </w:r>
    </w:p>
    <w:p w:rsidR="00B676AB" w:rsidRPr="00B676AB" w:rsidRDefault="00B676AB" w:rsidP="00B676AB">
      <w:pPr>
        <w:pStyle w:val="Ttulo3"/>
        <w:rPr>
          <w:sz w:val="24"/>
          <w:szCs w:val="24"/>
        </w:rPr>
      </w:pPr>
      <w:bookmarkStart w:id="2" w:name="_Toc194259598"/>
      <w:r w:rsidRPr="00B676AB">
        <w:rPr>
          <w:sz w:val="24"/>
          <w:szCs w:val="24"/>
        </w:rPr>
        <w:t>Características de la constitución nacional</w:t>
      </w:r>
      <w:bookmarkEnd w:id="2"/>
    </w:p>
    <w:p w:rsidR="00B676AB" w:rsidRPr="00B676AB" w:rsidRDefault="00B676AB" w:rsidP="00B676AB">
      <w:pPr>
        <w:numPr>
          <w:ilvl w:val="0"/>
          <w:numId w:val="4"/>
        </w:numPr>
        <w:autoSpaceDE w:val="0"/>
        <w:autoSpaceDN w:val="0"/>
        <w:adjustRightInd w:val="0"/>
        <w:spacing w:before="240" w:after="200" w:line="360" w:lineRule="auto"/>
        <w:contextualSpacing/>
        <w:jc w:val="both"/>
      </w:pPr>
      <w:r w:rsidRPr="00B676AB">
        <w:rPr>
          <w:rFonts w:eastAsia="Calibri"/>
          <w:noProof/>
          <w:lang w:val="es-AR"/>
        </w:rPr>
        <w:drawing>
          <wp:anchor distT="0" distB="0" distL="114300" distR="114300" simplePos="0" relativeHeight="251677696" behindDoc="1" locked="0" layoutInCell="1" allowOverlap="1" wp14:anchorId="064432C8" wp14:editId="015CD922">
            <wp:simplePos x="0" y="0"/>
            <wp:positionH relativeFrom="margin">
              <wp:posOffset>-101600</wp:posOffset>
            </wp:positionH>
            <wp:positionV relativeFrom="paragraph">
              <wp:posOffset>57150</wp:posOffset>
            </wp:positionV>
            <wp:extent cx="1162050" cy="2433613"/>
            <wp:effectExtent l="0" t="0" r="0" b="5080"/>
            <wp:wrapTight wrapText="bothSides">
              <wp:wrapPolygon edited="0">
                <wp:start x="1416" y="0"/>
                <wp:lineTo x="0" y="338"/>
                <wp:lineTo x="0" y="21307"/>
                <wp:lineTo x="1416" y="21476"/>
                <wp:lineTo x="19830" y="21476"/>
                <wp:lineTo x="21246" y="21307"/>
                <wp:lineTo x="21246" y="338"/>
                <wp:lineTo x="19830" y="0"/>
                <wp:lineTo x="1416" y="0"/>
              </wp:wrapPolygon>
            </wp:wrapTight>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REAMBULO.jpg"/>
                    <pic:cNvPicPr/>
                  </pic:nvPicPr>
                  <pic:blipFill>
                    <a:blip r:embed="rId7">
                      <a:extLst>
                        <a:ext uri="{28A0092B-C50C-407E-A947-70E740481C1C}">
                          <a14:useLocalDpi xmlns:a14="http://schemas.microsoft.com/office/drawing/2010/main" val="0"/>
                        </a:ext>
                      </a:extLst>
                    </a:blip>
                    <a:stretch>
                      <a:fillRect/>
                    </a:stretch>
                  </pic:blipFill>
                  <pic:spPr>
                    <a:xfrm>
                      <a:off x="0" y="0"/>
                      <a:ext cx="1162050" cy="243361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676AB">
        <w:rPr>
          <w:b/>
          <w:bCs/>
        </w:rPr>
        <w:t>Escrita:</w:t>
      </w:r>
      <w:r w:rsidRPr="00B676AB">
        <w:t xml:space="preserve"> A diferencia de otras constituciones que son orales como la del Reino Unido</w:t>
      </w:r>
    </w:p>
    <w:p w:rsidR="00B676AB" w:rsidRPr="00B676AB" w:rsidRDefault="00B676AB" w:rsidP="00B676AB">
      <w:pPr>
        <w:numPr>
          <w:ilvl w:val="0"/>
          <w:numId w:val="3"/>
        </w:numPr>
        <w:autoSpaceDE w:val="0"/>
        <w:autoSpaceDN w:val="0"/>
        <w:adjustRightInd w:val="0"/>
        <w:spacing w:line="360" w:lineRule="auto"/>
        <w:contextualSpacing/>
        <w:jc w:val="both"/>
      </w:pPr>
      <w:r w:rsidRPr="00B676AB">
        <w:rPr>
          <w:b/>
        </w:rPr>
        <w:t xml:space="preserve">Codificada: </w:t>
      </w:r>
      <w:r w:rsidRPr="00B676AB">
        <w:t>Porque constituye un único cuerpo legal.</w:t>
      </w:r>
    </w:p>
    <w:p w:rsidR="00B676AB" w:rsidRPr="00B676AB" w:rsidRDefault="00B676AB" w:rsidP="00B676AB">
      <w:pPr>
        <w:numPr>
          <w:ilvl w:val="0"/>
          <w:numId w:val="3"/>
        </w:numPr>
        <w:autoSpaceDE w:val="0"/>
        <w:autoSpaceDN w:val="0"/>
        <w:adjustRightInd w:val="0"/>
        <w:spacing w:line="360" w:lineRule="auto"/>
        <w:contextualSpacing/>
        <w:jc w:val="both"/>
      </w:pPr>
      <w:r w:rsidRPr="00B676AB">
        <w:rPr>
          <w:b/>
          <w:bCs/>
        </w:rPr>
        <w:t>Rígida:</w:t>
      </w:r>
      <w:r w:rsidRPr="00B676AB">
        <w:t xml:space="preserve"> Porque sólo puede ser modificada a través de un procedimiento especial llevado a cabo por un organismo creado para esa finalidad llamado Convención Constituyente.</w:t>
      </w:r>
    </w:p>
    <w:p w:rsidR="00B676AB" w:rsidRPr="00B676AB" w:rsidRDefault="00B676AB" w:rsidP="00B676AB">
      <w:pPr>
        <w:numPr>
          <w:ilvl w:val="0"/>
          <w:numId w:val="3"/>
        </w:numPr>
        <w:autoSpaceDE w:val="0"/>
        <w:autoSpaceDN w:val="0"/>
        <w:adjustRightInd w:val="0"/>
        <w:spacing w:line="360" w:lineRule="auto"/>
        <w:contextualSpacing/>
        <w:jc w:val="both"/>
      </w:pPr>
      <w:r w:rsidRPr="00B676AB">
        <w:t xml:space="preserve">Es una </w:t>
      </w:r>
      <w:r w:rsidRPr="00B676AB">
        <w:rPr>
          <w:b/>
          <w:bCs/>
        </w:rPr>
        <w:t>Norma Jurídica:</w:t>
      </w:r>
      <w:r w:rsidRPr="00B676AB">
        <w:t xml:space="preserve"> La más importante de todas</w:t>
      </w:r>
    </w:p>
    <w:p w:rsidR="00B676AB" w:rsidRPr="00B676AB" w:rsidRDefault="00B676AB" w:rsidP="00B676AB">
      <w:pPr>
        <w:autoSpaceDE w:val="0"/>
        <w:autoSpaceDN w:val="0"/>
        <w:adjustRightInd w:val="0"/>
        <w:spacing w:line="360" w:lineRule="auto"/>
        <w:jc w:val="both"/>
      </w:pPr>
      <w:r w:rsidRPr="00B676AB">
        <w:t xml:space="preserve">Otras particularidades es que hay derechos que están escrito se llaman </w:t>
      </w:r>
      <w:r w:rsidRPr="00B676AB">
        <w:rPr>
          <w:b/>
        </w:rPr>
        <w:t>explícitos</w:t>
      </w:r>
      <w:r w:rsidRPr="00B676AB">
        <w:t xml:space="preserve">, la gran mayoría </w:t>
      </w:r>
      <w:proofErr w:type="spellStart"/>
      <w:r w:rsidRPr="00B676AB">
        <w:t>ej</w:t>
      </w:r>
      <w:proofErr w:type="spellEnd"/>
      <w:r w:rsidRPr="00B676AB">
        <w:t xml:space="preserve">_ Art. 14 y otros que no están escritos, son los </w:t>
      </w:r>
      <w:r w:rsidRPr="00B676AB">
        <w:rPr>
          <w:b/>
        </w:rPr>
        <w:t>implícitos</w:t>
      </w:r>
      <w:r w:rsidRPr="00B676AB">
        <w:t>, pero que se deducen de la doctrina de la Constitución como por ejemplo el Art. 33.</w:t>
      </w:r>
    </w:p>
    <w:p w:rsidR="00B676AB" w:rsidRPr="00B676AB" w:rsidRDefault="00B676AB" w:rsidP="00B676AB">
      <w:pPr>
        <w:autoSpaceDE w:val="0"/>
        <w:autoSpaceDN w:val="0"/>
        <w:adjustRightInd w:val="0"/>
        <w:spacing w:line="360" w:lineRule="auto"/>
        <w:jc w:val="both"/>
        <w:rPr>
          <w:b/>
          <w:bCs/>
        </w:rPr>
      </w:pPr>
    </w:p>
    <w:p w:rsidR="00B676AB" w:rsidRPr="00B676AB" w:rsidRDefault="00B676AB" w:rsidP="00B676AB">
      <w:pPr>
        <w:pStyle w:val="Ttulo3"/>
        <w:rPr>
          <w:sz w:val="24"/>
          <w:szCs w:val="24"/>
        </w:rPr>
      </w:pPr>
      <w:bookmarkStart w:id="3" w:name="_Toc194259599"/>
      <w:r w:rsidRPr="00B676AB">
        <w:rPr>
          <w:sz w:val="24"/>
          <w:szCs w:val="24"/>
        </w:rPr>
        <w:t>Estructura de la constitución nacional</w:t>
      </w:r>
      <w:bookmarkEnd w:id="3"/>
    </w:p>
    <w:p w:rsidR="00B676AB" w:rsidRPr="00B676AB" w:rsidRDefault="00B676AB" w:rsidP="00B676AB">
      <w:pPr>
        <w:autoSpaceDE w:val="0"/>
        <w:autoSpaceDN w:val="0"/>
        <w:adjustRightInd w:val="0"/>
        <w:rPr>
          <w:b/>
          <w:bCs/>
        </w:rPr>
      </w:pPr>
    </w:p>
    <w:p w:rsidR="00B676AB" w:rsidRPr="00B676AB" w:rsidRDefault="00B676AB" w:rsidP="00B676AB">
      <w:pPr>
        <w:spacing w:line="360" w:lineRule="auto"/>
        <w:jc w:val="both"/>
      </w:pPr>
      <w:r w:rsidRPr="00B676AB">
        <w:t xml:space="preserve">La Constitución Nacional se compone de un Preámbulo, 129 artículos distribuidos en dos partes y 17 disposiciones transitorias. </w:t>
      </w:r>
    </w:p>
    <w:p w:rsidR="00B676AB" w:rsidRPr="00B676AB" w:rsidRDefault="00B676AB" w:rsidP="00B676AB">
      <w:pPr>
        <w:spacing w:line="360" w:lineRule="auto"/>
        <w:jc w:val="both"/>
      </w:pPr>
      <w:r w:rsidRPr="00B676AB">
        <w:rPr>
          <w:b/>
          <w:bCs/>
          <w:noProof/>
          <w:color w:val="365F91" w:themeColor="accent1" w:themeShade="BF"/>
          <w:lang w:val="es-AR"/>
        </w:rPr>
        <w:drawing>
          <wp:anchor distT="0" distB="0" distL="114300" distR="114300" simplePos="0" relativeHeight="251679744" behindDoc="1" locked="0" layoutInCell="1" allowOverlap="1" wp14:anchorId="6202A2D9" wp14:editId="1A2E5333">
            <wp:simplePos x="0" y="0"/>
            <wp:positionH relativeFrom="column">
              <wp:posOffset>-661035</wp:posOffset>
            </wp:positionH>
            <wp:positionV relativeFrom="paragraph">
              <wp:posOffset>215900</wp:posOffset>
            </wp:positionV>
            <wp:extent cx="6730365" cy="1707515"/>
            <wp:effectExtent l="0" t="0" r="0" b="6985"/>
            <wp:wrapTight wrapText="bothSides">
              <wp:wrapPolygon edited="0">
                <wp:start x="61" y="0"/>
                <wp:lineTo x="0" y="723"/>
                <wp:lineTo x="0" y="20965"/>
                <wp:lineTo x="61" y="21447"/>
                <wp:lineTo x="17485" y="21447"/>
                <wp:lineTo x="17669" y="21447"/>
                <wp:lineTo x="19992" y="19520"/>
                <wp:lineTo x="19992" y="19279"/>
                <wp:lineTo x="21521" y="18074"/>
                <wp:lineTo x="21521" y="723"/>
                <wp:lineTo x="21459" y="0"/>
                <wp:lineTo x="61" y="0"/>
              </wp:wrapPolygon>
            </wp:wrapTight>
            <wp:docPr id="372887916"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0365" cy="1707515"/>
                    </a:xfrm>
                    <a:prstGeom prst="rect">
                      <a:avLst/>
                    </a:prstGeom>
                    <a:noFill/>
                  </pic:spPr>
                </pic:pic>
              </a:graphicData>
            </a:graphic>
            <wp14:sizeRelH relativeFrom="page">
              <wp14:pctWidth>0</wp14:pctWidth>
            </wp14:sizeRelH>
            <wp14:sizeRelV relativeFrom="page">
              <wp14:pctHeight>0</wp14:pctHeight>
            </wp14:sizeRelV>
          </wp:anchor>
        </w:drawing>
      </w:r>
    </w:p>
    <w:p w:rsidR="00B676AB" w:rsidRPr="00B676AB" w:rsidRDefault="00B676AB" w:rsidP="00B676AB">
      <w:pPr>
        <w:spacing w:line="360" w:lineRule="auto"/>
        <w:jc w:val="both"/>
      </w:pPr>
      <w:r w:rsidRPr="00B676AB">
        <w:rPr>
          <w:b/>
          <w:bCs/>
          <w:color w:val="365F91" w:themeColor="accent1" w:themeShade="BF"/>
        </w:rPr>
        <w:t>Preámbulo</w:t>
      </w:r>
      <w:proofErr w:type="gramStart"/>
      <w:r w:rsidRPr="00B676AB">
        <w:rPr>
          <w:b/>
          <w:bCs/>
          <w:color w:val="365F91" w:themeColor="accent1" w:themeShade="BF"/>
        </w:rPr>
        <w:t>:</w:t>
      </w:r>
      <w:r w:rsidRPr="00B676AB">
        <w:rPr>
          <w:b/>
          <w:bCs/>
          <w:color w:val="00B0F0"/>
        </w:rPr>
        <w:t xml:space="preserve"> </w:t>
      </w:r>
      <w:r w:rsidRPr="00B676AB">
        <w:rPr>
          <w:b/>
          <w:bCs/>
          <w:color w:val="4BACC6" w:themeColor="accent5"/>
        </w:rPr>
        <w:t xml:space="preserve"> </w:t>
      </w:r>
      <w:r w:rsidRPr="00B676AB">
        <w:rPr>
          <w:color w:val="333333"/>
        </w:rPr>
        <w:t>Es</w:t>
      </w:r>
      <w:proofErr w:type="gramEnd"/>
      <w:r w:rsidRPr="00B676AB">
        <w:rPr>
          <w:color w:val="333333"/>
        </w:rPr>
        <w:t xml:space="preserve"> un texto que encabeza la Constitución Nacional y declara los valores que deben respetarse: la unión nacional, la paz, el orden, la justicia, la defensa común, el bienestar general y la protección de la libertad de todos los habitantes.</w:t>
      </w:r>
      <w:r w:rsidRPr="00B676AB">
        <w:t xml:space="preserve"> </w:t>
      </w:r>
    </w:p>
    <w:p w:rsidR="00B676AB" w:rsidRPr="00B676AB" w:rsidRDefault="00B676AB" w:rsidP="00B676AB">
      <w:pPr>
        <w:spacing w:line="360" w:lineRule="auto"/>
        <w:jc w:val="both"/>
      </w:pPr>
    </w:p>
    <w:p w:rsidR="00B676AB" w:rsidRPr="00B676AB" w:rsidRDefault="00B676AB" w:rsidP="00B676AB">
      <w:pPr>
        <w:spacing w:line="360" w:lineRule="auto"/>
        <w:jc w:val="both"/>
      </w:pPr>
      <w:r w:rsidRPr="00B676AB">
        <w:t>El motivo por el cual el preámbulo no sufrió modificaciones en el tiempo es porque en las diferentes convenciones reformadores consideraron que sus principios aún se mantenían vigentes.</w:t>
      </w:r>
    </w:p>
    <w:p w:rsidR="00B676AB" w:rsidRPr="00B676AB" w:rsidRDefault="00B676AB" w:rsidP="00B676AB">
      <w:pPr>
        <w:spacing w:line="360" w:lineRule="auto"/>
        <w:jc w:val="both"/>
      </w:pPr>
      <w:r w:rsidRPr="00B676AB">
        <w:t>Veamos con detenimiento cuáles son estos principios:</w:t>
      </w:r>
    </w:p>
    <w:p w:rsidR="00B676AB" w:rsidRPr="00B676AB" w:rsidRDefault="00B676AB" w:rsidP="00B676AB">
      <w:pPr>
        <w:spacing w:line="360" w:lineRule="auto"/>
        <w:jc w:val="both"/>
      </w:pPr>
    </w:p>
    <w:p w:rsidR="00B676AB" w:rsidRPr="00B676AB" w:rsidRDefault="00B676AB" w:rsidP="00B676AB">
      <w:pPr>
        <w:spacing w:line="360" w:lineRule="auto"/>
        <w:jc w:val="both"/>
        <w:rPr>
          <w:b/>
          <w:bCs/>
          <w:i/>
          <w:iCs/>
        </w:rPr>
      </w:pPr>
      <w:r w:rsidRPr="00B676AB">
        <w:rPr>
          <w:b/>
          <w:bCs/>
          <w:i/>
          <w:iCs/>
        </w:rPr>
        <w:t>“…constituir la unión nacional…”</w:t>
      </w:r>
    </w:p>
    <w:p w:rsidR="00B676AB" w:rsidRPr="00B676AB" w:rsidRDefault="00B676AB" w:rsidP="00B676AB">
      <w:pPr>
        <w:spacing w:line="360" w:lineRule="auto"/>
        <w:jc w:val="both"/>
      </w:pPr>
      <w:r w:rsidRPr="00B676AB">
        <w:t>Buscaba dar forma política a la nación, superando la etapa de luchas civiles que amenazaban con fragmentarla definitivamente.</w:t>
      </w:r>
    </w:p>
    <w:p w:rsidR="00B676AB" w:rsidRPr="00B676AB" w:rsidRDefault="00B676AB" w:rsidP="00B676AB">
      <w:pPr>
        <w:spacing w:line="360" w:lineRule="auto"/>
        <w:jc w:val="both"/>
      </w:pPr>
    </w:p>
    <w:p w:rsidR="00B676AB" w:rsidRPr="00B676AB" w:rsidRDefault="00B676AB" w:rsidP="00B676AB">
      <w:pPr>
        <w:spacing w:line="360" w:lineRule="auto"/>
        <w:jc w:val="both"/>
        <w:rPr>
          <w:b/>
          <w:bCs/>
          <w:i/>
          <w:iCs/>
        </w:rPr>
      </w:pPr>
      <w:r w:rsidRPr="00B676AB">
        <w:rPr>
          <w:b/>
          <w:bCs/>
          <w:i/>
          <w:iCs/>
        </w:rPr>
        <w:t>“…afianzar la justicia…”</w:t>
      </w:r>
    </w:p>
    <w:p w:rsidR="00B676AB" w:rsidRPr="00B676AB" w:rsidRDefault="00B676AB" w:rsidP="00B676AB">
      <w:pPr>
        <w:spacing w:line="360" w:lineRule="auto"/>
        <w:jc w:val="both"/>
      </w:pPr>
      <w:r w:rsidRPr="00B676AB">
        <w:t>Mediante la organización del Poder Judicial a nivel nacional y provincial.</w:t>
      </w:r>
    </w:p>
    <w:p w:rsidR="00B676AB" w:rsidRPr="00B676AB" w:rsidRDefault="00B676AB" w:rsidP="00B676AB">
      <w:pPr>
        <w:spacing w:line="360" w:lineRule="auto"/>
        <w:jc w:val="both"/>
      </w:pPr>
    </w:p>
    <w:p w:rsidR="009E70F3" w:rsidRDefault="009E70F3" w:rsidP="00B676AB">
      <w:pPr>
        <w:spacing w:line="360" w:lineRule="auto"/>
        <w:jc w:val="both"/>
        <w:rPr>
          <w:b/>
          <w:bCs/>
          <w:i/>
          <w:iCs/>
        </w:rPr>
      </w:pPr>
    </w:p>
    <w:p w:rsidR="009E70F3" w:rsidRDefault="009E70F3" w:rsidP="00B676AB">
      <w:pPr>
        <w:spacing w:line="360" w:lineRule="auto"/>
        <w:jc w:val="both"/>
        <w:rPr>
          <w:b/>
          <w:bCs/>
          <w:i/>
          <w:iCs/>
        </w:rPr>
      </w:pPr>
    </w:p>
    <w:p w:rsidR="00B676AB" w:rsidRPr="00B676AB" w:rsidRDefault="00B676AB" w:rsidP="00B676AB">
      <w:pPr>
        <w:spacing w:line="360" w:lineRule="auto"/>
        <w:jc w:val="both"/>
        <w:rPr>
          <w:b/>
          <w:bCs/>
          <w:i/>
          <w:iCs/>
        </w:rPr>
      </w:pPr>
      <w:r w:rsidRPr="00B676AB">
        <w:rPr>
          <w:b/>
          <w:bCs/>
          <w:i/>
          <w:iCs/>
        </w:rPr>
        <w:lastRenderedPageBreak/>
        <w:t>“…consolidar la paz interior…”</w:t>
      </w:r>
    </w:p>
    <w:p w:rsidR="00B676AB" w:rsidRPr="00B676AB" w:rsidRDefault="00B676AB" w:rsidP="00B676AB">
      <w:pPr>
        <w:spacing w:line="360" w:lineRule="auto"/>
        <w:jc w:val="both"/>
      </w:pPr>
      <w:r w:rsidRPr="00B676AB">
        <w:t>Acabar con los enfrentamientos internos no era suficiente; buscó también organizar un sistema de convivencia entre todos los habitantes.</w:t>
      </w:r>
    </w:p>
    <w:p w:rsidR="00B676AB" w:rsidRPr="00B676AB" w:rsidRDefault="00B676AB" w:rsidP="00B676AB">
      <w:pPr>
        <w:spacing w:line="360" w:lineRule="auto"/>
        <w:jc w:val="both"/>
      </w:pPr>
    </w:p>
    <w:p w:rsidR="00B676AB" w:rsidRPr="00B676AB" w:rsidRDefault="00B676AB" w:rsidP="00B676AB">
      <w:pPr>
        <w:spacing w:line="360" w:lineRule="auto"/>
        <w:jc w:val="both"/>
        <w:rPr>
          <w:b/>
          <w:bCs/>
          <w:i/>
          <w:iCs/>
        </w:rPr>
      </w:pPr>
      <w:r w:rsidRPr="00B676AB">
        <w:rPr>
          <w:b/>
          <w:bCs/>
          <w:i/>
          <w:iCs/>
        </w:rPr>
        <w:t>“…promover la defensa común…”</w:t>
      </w:r>
    </w:p>
    <w:p w:rsidR="00B676AB" w:rsidRPr="00B676AB" w:rsidRDefault="00B676AB" w:rsidP="00B676AB">
      <w:pPr>
        <w:spacing w:line="360" w:lineRule="auto"/>
        <w:jc w:val="both"/>
      </w:pPr>
      <w:r w:rsidRPr="00B676AB">
        <w:t>Establece la constitución la obligación de armarse en defensa de la Patria, poniendo a las Fuerzas Armadas bajo las órdenes del gobierno nacional. El estado nacional tiene la facultad de reclutar tropas, declarar la guerra y hacer la paz.</w:t>
      </w:r>
    </w:p>
    <w:p w:rsidR="00B676AB" w:rsidRPr="00B676AB" w:rsidRDefault="00B676AB" w:rsidP="00B676AB">
      <w:pPr>
        <w:spacing w:line="360" w:lineRule="auto"/>
        <w:jc w:val="both"/>
      </w:pPr>
    </w:p>
    <w:p w:rsidR="00B676AB" w:rsidRPr="00B676AB" w:rsidRDefault="00B676AB" w:rsidP="00B676AB">
      <w:pPr>
        <w:spacing w:line="360" w:lineRule="auto"/>
        <w:jc w:val="both"/>
        <w:rPr>
          <w:b/>
          <w:bCs/>
          <w:i/>
          <w:iCs/>
        </w:rPr>
      </w:pPr>
      <w:r w:rsidRPr="00B676AB">
        <w:rPr>
          <w:b/>
          <w:bCs/>
          <w:i/>
          <w:iCs/>
        </w:rPr>
        <w:t>“…promover el bienestar general…”</w:t>
      </w:r>
    </w:p>
    <w:p w:rsidR="00B676AB" w:rsidRPr="00B676AB" w:rsidRDefault="00B676AB" w:rsidP="00B676AB">
      <w:pPr>
        <w:spacing w:line="360" w:lineRule="auto"/>
        <w:jc w:val="both"/>
      </w:pPr>
      <w:r w:rsidRPr="00B676AB">
        <w:t>Respetando y defendiendo los derechos de los habitantes, impulsando el desarrollo económico y cultural, etc.</w:t>
      </w:r>
    </w:p>
    <w:p w:rsidR="00B676AB" w:rsidRPr="00B676AB" w:rsidRDefault="00B676AB" w:rsidP="00B676AB">
      <w:pPr>
        <w:spacing w:line="360" w:lineRule="auto"/>
        <w:jc w:val="both"/>
      </w:pPr>
    </w:p>
    <w:p w:rsidR="00B676AB" w:rsidRPr="00B676AB" w:rsidRDefault="00B676AB" w:rsidP="00B676AB">
      <w:pPr>
        <w:spacing w:line="360" w:lineRule="auto"/>
        <w:jc w:val="both"/>
        <w:rPr>
          <w:b/>
          <w:bCs/>
          <w:i/>
          <w:iCs/>
        </w:rPr>
      </w:pPr>
      <w:r w:rsidRPr="00B676AB">
        <w:rPr>
          <w:b/>
          <w:bCs/>
          <w:i/>
          <w:iCs/>
        </w:rPr>
        <w:t>“…y asegurar los beneficios de la libertad, para nosotros, para nuestra prosperidad y para todos los hombres del mundo que quieran habitar el suelo argentino…”</w:t>
      </w:r>
    </w:p>
    <w:p w:rsidR="00B676AB" w:rsidRPr="00B676AB" w:rsidRDefault="00B676AB" w:rsidP="00B676AB">
      <w:pPr>
        <w:spacing w:line="360" w:lineRule="auto"/>
        <w:jc w:val="both"/>
      </w:pPr>
      <w:r w:rsidRPr="00B676AB">
        <w:t>La libertad era un valor fundamental para los constituyentes. Hacerla extensible a todos los inmigrantes significó una manera de atraer población a estas tierras. En este punto siguieron la máxima de Juan Bautista Alberdi –autor del texto constitucional- cuando dijo “gobernar es poblar”.</w:t>
      </w:r>
    </w:p>
    <w:p w:rsidR="00B676AB" w:rsidRPr="00B676AB" w:rsidRDefault="00B676AB" w:rsidP="00B676AB">
      <w:pPr>
        <w:spacing w:line="360" w:lineRule="auto"/>
        <w:jc w:val="both"/>
      </w:pPr>
    </w:p>
    <w:p w:rsidR="00B676AB" w:rsidRPr="00B676AB" w:rsidRDefault="00B676AB" w:rsidP="00B676AB">
      <w:pPr>
        <w:spacing w:line="360" w:lineRule="auto"/>
        <w:jc w:val="both"/>
        <w:rPr>
          <w:b/>
          <w:bCs/>
          <w:i/>
          <w:iCs/>
        </w:rPr>
      </w:pPr>
      <w:r w:rsidRPr="00B676AB">
        <w:t xml:space="preserve"> </w:t>
      </w:r>
      <w:r w:rsidRPr="00B676AB">
        <w:rPr>
          <w:b/>
          <w:bCs/>
          <w:i/>
          <w:iCs/>
        </w:rPr>
        <w:t>“…la protección de Dios, fuente de toda razón y justicia…”</w:t>
      </w:r>
    </w:p>
    <w:p w:rsidR="00B676AB" w:rsidRPr="00B676AB" w:rsidRDefault="00B676AB" w:rsidP="00B676AB">
      <w:pPr>
        <w:spacing w:line="360" w:lineRule="auto"/>
        <w:jc w:val="both"/>
      </w:pPr>
      <w:r w:rsidRPr="00B676AB">
        <w:t>Esta expresión de carácter religioso responde al carácter católico con el que surge el estado argentino, en uno de sus artículos sostiene: “El Gobierno federal sostiene el culto católico apostólico romano”. Sin embargo, esta disposición fue acompañada por otra que asegura la libertad de culto y tolerancia hacia otros credos religiosos.</w:t>
      </w:r>
    </w:p>
    <w:p w:rsidR="00B676AB" w:rsidRPr="00B676AB" w:rsidRDefault="00B676AB" w:rsidP="00B676AB">
      <w:pPr>
        <w:spacing w:line="360" w:lineRule="auto"/>
        <w:jc w:val="both"/>
      </w:pPr>
    </w:p>
    <w:p w:rsidR="00D6468C" w:rsidRPr="00B676AB" w:rsidRDefault="00D6468C">
      <w:pPr>
        <w:pBdr>
          <w:top w:val="nil"/>
          <w:left w:val="nil"/>
          <w:bottom w:val="nil"/>
          <w:right w:val="nil"/>
          <w:between w:val="nil"/>
        </w:pBdr>
        <w:jc w:val="both"/>
        <w:rPr>
          <w:rFonts w:eastAsia="Cambria"/>
          <w:b/>
          <w:bCs/>
          <w:color w:val="000000"/>
        </w:rPr>
      </w:pPr>
    </w:p>
    <w:p w:rsidR="00D6468C" w:rsidRPr="00B676AB" w:rsidRDefault="00D6468C">
      <w:pPr>
        <w:pBdr>
          <w:top w:val="nil"/>
          <w:left w:val="nil"/>
          <w:bottom w:val="nil"/>
          <w:right w:val="nil"/>
          <w:between w:val="nil"/>
        </w:pBdr>
        <w:jc w:val="both"/>
        <w:rPr>
          <w:rFonts w:eastAsia="Cambria"/>
          <w:b/>
          <w:bCs/>
          <w:color w:val="000000"/>
        </w:rPr>
      </w:pPr>
    </w:p>
    <w:p w:rsidR="00D6468C" w:rsidRPr="00B676AB" w:rsidRDefault="00D6468C">
      <w:pPr>
        <w:pBdr>
          <w:top w:val="nil"/>
          <w:left w:val="nil"/>
          <w:bottom w:val="nil"/>
          <w:right w:val="nil"/>
          <w:between w:val="nil"/>
        </w:pBdr>
        <w:jc w:val="both"/>
        <w:rPr>
          <w:rFonts w:eastAsia="Cambria"/>
          <w:b/>
          <w:bCs/>
          <w:color w:val="000000"/>
        </w:rPr>
      </w:pPr>
    </w:p>
    <w:p w:rsidR="00D6468C" w:rsidRPr="00B676AB" w:rsidRDefault="00D6468C">
      <w:pPr>
        <w:pBdr>
          <w:top w:val="nil"/>
          <w:left w:val="nil"/>
          <w:bottom w:val="nil"/>
          <w:right w:val="nil"/>
          <w:between w:val="nil"/>
        </w:pBdr>
        <w:jc w:val="both"/>
        <w:rPr>
          <w:rFonts w:eastAsia="Cambria"/>
          <w:b/>
          <w:bCs/>
          <w:color w:val="000000"/>
        </w:rPr>
      </w:pPr>
    </w:p>
    <w:p w:rsidR="00D6468C" w:rsidRPr="00B676AB" w:rsidRDefault="00D6468C">
      <w:pPr>
        <w:pBdr>
          <w:top w:val="nil"/>
          <w:left w:val="nil"/>
          <w:bottom w:val="nil"/>
          <w:right w:val="nil"/>
          <w:between w:val="nil"/>
        </w:pBdr>
        <w:jc w:val="both"/>
        <w:rPr>
          <w:rFonts w:eastAsia="Cambria"/>
          <w:b/>
          <w:bCs/>
          <w:color w:val="000000"/>
        </w:rPr>
      </w:pPr>
    </w:p>
    <w:p w:rsidR="00D6468C" w:rsidRPr="00122F0F" w:rsidRDefault="0014641B" w:rsidP="00122F0F">
      <w:pPr>
        <w:pBdr>
          <w:top w:val="nil"/>
          <w:left w:val="nil"/>
          <w:bottom w:val="nil"/>
          <w:right w:val="nil"/>
          <w:between w:val="nil"/>
        </w:pBdr>
        <w:jc w:val="both"/>
        <w:rPr>
          <w:rFonts w:eastAsia="Arial"/>
          <w:color w:val="000000"/>
        </w:rPr>
      </w:pPr>
      <w:bookmarkStart w:id="4" w:name="_GoBack"/>
      <w:bookmarkEnd w:id="4"/>
      <w:r>
        <w:rPr>
          <w:rFonts w:ascii="Arial" w:eastAsia="Arial" w:hAnsi="Arial" w:cs="Arial"/>
          <w:color w:val="000000"/>
          <w:sz w:val="22"/>
          <w:szCs w:val="22"/>
        </w:rPr>
        <w:t xml:space="preserve"> </w:t>
      </w:r>
    </w:p>
    <w:p w:rsidR="00D6468C" w:rsidRDefault="00D6468C"/>
    <w:p w:rsidR="00D6468C" w:rsidRDefault="00D6468C">
      <w:pPr>
        <w:pBdr>
          <w:top w:val="nil"/>
          <w:left w:val="nil"/>
          <w:bottom w:val="nil"/>
          <w:right w:val="nil"/>
          <w:between w:val="nil"/>
        </w:pBdr>
        <w:rPr>
          <w:rFonts w:ascii="Arial" w:eastAsia="Arial" w:hAnsi="Arial" w:cs="Arial"/>
          <w:color w:val="000000"/>
          <w:sz w:val="22"/>
          <w:szCs w:val="22"/>
        </w:rPr>
      </w:pPr>
    </w:p>
    <w:p w:rsidR="00D6468C" w:rsidRDefault="00D6468C">
      <w:pPr>
        <w:pBdr>
          <w:top w:val="nil"/>
          <w:left w:val="nil"/>
          <w:bottom w:val="nil"/>
          <w:right w:val="nil"/>
          <w:between w:val="nil"/>
        </w:pBdr>
        <w:rPr>
          <w:rFonts w:ascii="Arial" w:eastAsia="Arial" w:hAnsi="Arial" w:cs="Arial"/>
          <w:color w:val="000000"/>
          <w:sz w:val="22"/>
          <w:szCs w:val="22"/>
        </w:rPr>
      </w:pPr>
    </w:p>
    <w:p w:rsidR="00D6468C" w:rsidRDefault="00D6468C">
      <w:pPr>
        <w:pBdr>
          <w:top w:val="nil"/>
          <w:left w:val="nil"/>
          <w:bottom w:val="nil"/>
          <w:right w:val="nil"/>
          <w:between w:val="nil"/>
        </w:pBdr>
        <w:rPr>
          <w:rFonts w:ascii="Arial" w:eastAsia="Arial" w:hAnsi="Arial" w:cs="Arial"/>
          <w:color w:val="000000"/>
          <w:sz w:val="22"/>
          <w:szCs w:val="22"/>
        </w:rPr>
      </w:pPr>
    </w:p>
    <w:p w:rsidR="00D6468C" w:rsidRDefault="00D6468C">
      <w:pPr>
        <w:pBdr>
          <w:top w:val="nil"/>
          <w:left w:val="nil"/>
          <w:bottom w:val="nil"/>
          <w:right w:val="nil"/>
          <w:between w:val="nil"/>
        </w:pBdr>
        <w:rPr>
          <w:rFonts w:ascii="Arial" w:eastAsia="Arial" w:hAnsi="Arial" w:cs="Arial"/>
          <w:color w:val="000000"/>
          <w:sz w:val="22"/>
          <w:szCs w:val="22"/>
        </w:rPr>
      </w:pPr>
    </w:p>
    <w:p w:rsidR="00D6468C" w:rsidRDefault="00D6468C">
      <w:pPr>
        <w:pBdr>
          <w:top w:val="nil"/>
          <w:left w:val="nil"/>
          <w:bottom w:val="nil"/>
          <w:right w:val="nil"/>
          <w:between w:val="nil"/>
        </w:pBdr>
        <w:rPr>
          <w:rFonts w:ascii="Arial" w:eastAsia="Arial" w:hAnsi="Arial" w:cs="Arial"/>
          <w:color w:val="000000"/>
          <w:sz w:val="22"/>
          <w:szCs w:val="22"/>
        </w:rPr>
      </w:pPr>
    </w:p>
    <w:p w:rsidR="00D6468C" w:rsidRDefault="00D6468C">
      <w:pPr>
        <w:pBdr>
          <w:top w:val="nil"/>
          <w:left w:val="nil"/>
          <w:bottom w:val="nil"/>
          <w:right w:val="nil"/>
          <w:between w:val="nil"/>
        </w:pBdr>
        <w:rPr>
          <w:rFonts w:ascii="Arial" w:eastAsia="Arial" w:hAnsi="Arial" w:cs="Arial"/>
          <w:color w:val="000000"/>
          <w:sz w:val="22"/>
          <w:szCs w:val="22"/>
        </w:rPr>
      </w:pPr>
    </w:p>
    <w:p w:rsidR="00D6468C" w:rsidRDefault="00D6468C">
      <w:pPr>
        <w:pBdr>
          <w:top w:val="nil"/>
          <w:left w:val="nil"/>
          <w:bottom w:val="nil"/>
          <w:right w:val="nil"/>
          <w:between w:val="nil"/>
        </w:pBdr>
        <w:rPr>
          <w:rFonts w:ascii="Arial" w:eastAsia="Arial" w:hAnsi="Arial" w:cs="Arial"/>
          <w:color w:val="000000"/>
          <w:sz w:val="22"/>
          <w:szCs w:val="22"/>
        </w:rPr>
      </w:pPr>
    </w:p>
    <w:p w:rsidR="00D6468C" w:rsidRDefault="00D6468C">
      <w:pPr>
        <w:pBdr>
          <w:top w:val="nil"/>
          <w:left w:val="nil"/>
          <w:bottom w:val="nil"/>
          <w:right w:val="nil"/>
          <w:between w:val="nil"/>
        </w:pBdr>
        <w:rPr>
          <w:rFonts w:ascii="Arial" w:eastAsia="Arial" w:hAnsi="Arial" w:cs="Arial"/>
          <w:color w:val="000000"/>
          <w:sz w:val="22"/>
          <w:szCs w:val="22"/>
        </w:rPr>
      </w:pPr>
    </w:p>
    <w:p w:rsidR="00D6468C" w:rsidRDefault="00D6468C">
      <w:pPr>
        <w:pBdr>
          <w:top w:val="nil"/>
          <w:left w:val="nil"/>
          <w:bottom w:val="nil"/>
          <w:right w:val="nil"/>
          <w:between w:val="nil"/>
        </w:pBdr>
        <w:rPr>
          <w:rFonts w:ascii="Arial" w:eastAsia="Arial" w:hAnsi="Arial" w:cs="Arial"/>
          <w:color w:val="000000"/>
          <w:sz w:val="22"/>
          <w:szCs w:val="22"/>
        </w:rPr>
      </w:pPr>
    </w:p>
    <w:sectPr w:rsidR="00D6468C">
      <w:headerReference w:type="default" r:id="rId9"/>
      <w:footerReference w:type="even" r:id="rId10"/>
      <w:footerReference w:type="default" r:id="rId11"/>
      <w:pgSz w:w="11907" w:h="16840"/>
      <w:pgMar w:top="1134" w:right="1701" w:bottom="1134" w:left="1701" w:header="709" w:footer="709" w:gutter="0"/>
      <w:pgNumType w:start="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8DD" w:rsidRDefault="00B038DD">
      <w:r>
        <w:separator/>
      </w:r>
    </w:p>
  </w:endnote>
  <w:endnote w:type="continuationSeparator" w:id="0">
    <w:p w:rsidR="00B038DD" w:rsidRDefault="00B03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11CA77AC-3B1C-4C4D-BC89-5BEA22E0A53B}"/>
  </w:font>
  <w:font w:name="Calibri">
    <w:panose1 w:val="020F0502020204030204"/>
    <w:charset w:val="00"/>
    <w:family w:val="swiss"/>
    <w:pitch w:val="variable"/>
    <w:sig w:usb0="E4002EFF" w:usb1="C200247B" w:usb2="00000009" w:usb3="00000000" w:csb0="000001FF" w:csb1="00000000"/>
    <w:embedRegular r:id="rId2" w:fontKey="{5D9C7A9C-2DAC-4E7B-AE6A-9DA9F3C9263C}"/>
  </w:font>
  <w:font w:name="Cambria">
    <w:panose1 w:val="02040503050406030204"/>
    <w:charset w:val="00"/>
    <w:family w:val="roman"/>
    <w:pitch w:val="variable"/>
    <w:sig w:usb0="E00006FF" w:usb1="420024FF" w:usb2="02000000" w:usb3="00000000" w:csb0="0000019F" w:csb1="00000000"/>
    <w:embedRegular r:id="rId3" w:fontKey="{5C289D65-AE4C-44EA-990E-20FD8E14B1B9}"/>
    <w:embedBold r:id="rId4" w:fontKey="{19BE8F59-B1E2-4E30-ABE8-AAFF910CAD4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68C" w:rsidRDefault="0014641B">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rsidR="00D6468C" w:rsidRDefault="00D6468C">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68C" w:rsidRDefault="00D6468C">
    <w:pPr>
      <w:pBdr>
        <w:top w:val="nil"/>
        <w:left w:val="nil"/>
        <w:bottom w:val="nil"/>
        <w:right w:val="nil"/>
        <w:between w:val="nil"/>
      </w:pBdr>
      <w:tabs>
        <w:tab w:val="center" w:pos="4252"/>
        <w:tab w:val="right" w:pos="8504"/>
      </w:tabs>
      <w:jc w:val="right"/>
      <w:rPr>
        <w:color w:val="000000"/>
      </w:rPr>
    </w:pPr>
  </w:p>
  <w:p w:rsidR="00D6468C" w:rsidRDefault="00D6468C">
    <w:pPr>
      <w:pBdr>
        <w:top w:val="nil"/>
        <w:left w:val="nil"/>
        <w:bottom w:val="nil"/>
        <w:right w:val="nil"/>
        <w:between w:val="nil"/>
      </w:pBdr>
      <w:tabs>
        <w:tab w:val="center" w:pos="4252"/>
        <w:tab w:val="right" w:pos="8504"/>
      </w:tabs>
      <w:ind w:right="36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8DD" w:rsidRDefault="00B038DD">
      <w:r>
        <w:separator/>
      </w:r>
    </w:p>
  </w:footnote>
  <w:footnote w:type="continuationSeparator" w:id="0">
    <w:p w:rsidR="00B038DD" w:rsidRDefault="00B038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68C" w:rsidRDefault="00D6468C">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2"/>
      <w:tblW w:w="8735" w:type="dxa"/>
      <w:tblInd w:w="-115" w:type="dxa"/>
      <w:tblBorders>
        <w:top w:val="nil"/>
        <w:left w:val="nil"/>
        <w:bottom w:val="single" w:sz="18" w:space="0" w:color="808080"/>
        <w:right w:val="nil"/>
        <w:insideH w:val="nil"/>
        <w:insideV w:val="single" w:sz="18" w:space="0" w:color="808080"/>
      </w:tblBorders>
      <w:tblLayout w:type="fixed"/>
      <w:tblLook w:val="0000" w:firstRow="0" w:lastRow="0" w:firstColumn="0" w:lastColumn="0" w:noHBand="0" w:noVBand="0"/>
    </w:tblPr>
    <w:tblGrid>
      <w:gridCol w:w="7614"/>
      <w:gridCol w:w="1121"/>
    </w:tblGrid>
    <w:tr w:rsidR="00D6468C">
      <w:trPr>
        <w:trHeight w:val="1350"/>
      </w:trPr>
      <w:tc>
        <w:tcPr>
          <w:tcW w:w="7614" w:type="dxa"/>
        </w:tcPr>
        <w:p w:rsidR="00D6468C" w:rsidRDefault="00D6468C" w:rsidP="00D02C67">
          <w:pPr>
            <w:tabs>
              <w:tab w:val="center" w:pos="4252"/>
              <w:tab w:val="right" w:pos="8504"/>
            </w:tabs>
            <w:rPr>
              <w:rFonts w:ascii="Calibri" w:eastAsia="Calibri" w:hAnsi="Calibri" w:cs="Calibri"/>
            </w:rPr>
          </w:pPr>
        </w:p>
        <w:p w:rsidR="00D6468C" w:rsidRDefault="00D6468C">
          <w:pPr>
            <w:jc w:val="center"/>
            <w:rPr>
              <w:rFonts w:ascii="Cambria" w:eastAsia="Cambria" w:hAnsi="Cambria" w:cs="Cambria"/>
            </w:rPr>
          </w:pPr>
        </w:p>
      </w:tc>
      <w:tc>
        <w:tcPr>
          <w:tcW w:w="1121" w:type="dxa"/>
        </w:tcPr>
        <w:p w:rsidR="00D6468C" w:rsidRDefault="0014641B">
          <w:pPr>
            <w:pBdr>
              <w:top w:val="nil"/>
              <w:left w:val="nil"/>
              <w:bottom w:val="nil"/>
              <w:right w:val="nil"/>
              <w:between w:val="nil"/>
            </w:pBdr>
            <w:tabs>
              <w:tab w:val="center" w:pos="4252"/>
              <w:tab w:val="right" w:pos="8504"/>
            </w:tabs>
            <w:jc w:val="center"/>
            <w:rPr>
              <w:rFonts w:ascii="Cambria" w:eastAsia="Cambria" w:hAnsi="Cambria" w:cs="Cambria"/>
              <w:color w:val="4F81BD"/>
              <w:sz w:val="36"/>
              <w:szCs w:val="36"/>
            </w:rPr>
          </w:pPr>
          <w:r>
            <w:rPr>
              <w:noProof/>
              <w:lang w:val="es-AR"/>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0</wp:posOffset>
                </wp:positionV>
                <wp:extent cx="565150" cy="7518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5150" cy="751840"/>
                        </a:xfrm>
                        <a:prstGeom prst="rect">
                          <a:avLst/>
                        </a:prstGeom>
                        <a:ln/>
                      </pic:spPr>
                    </pic:pic>
                  </a:graphicData>
                </a:graphic>
              </wp:anchor>
            </w:drawing>
          </w:r>
        </w:p>
      </w:tc>
    </w:tr>
  </w:tbl>
  <w:p w:rsidR="00D6468C" w:rsidRDefault="00D6468C">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F55CF0"/>
    <w:multiLevelType w:val="hybridMultilevel"/>
    <w:tmpl w:val="450C5F34"/>
    <w:lvl w:ilvl="0" w:tplc="2C0A0005">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
    <w:nsid w:val="24FC21B7"/>
    <w:multiLevelType w:val="hybridMultilevel"/>
    <w:tmpl w:val="3D0C8A6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4EDA3F3F"/>
    <w:multiLevelType w:val="hybridMultilevel"/>
    <w:tmpl w:val="07DE2B50"/>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4FE30145"/>
    <w:multiLevelType w:val="hybridMultilevel"/>
    <w:tmpl w:val="BF6C05F6"/>
    <w:lvl w:ilvl="0" w:tplc="C366CBB4">
      <w:start w:val="1"/>
      <w:numFmt w:val="bullet"/>
      <w:lvlText w:val="."/>
      <w:lvlJc w:val="left"/>
      <w:pPr>
        <w:ind w:left="720" w:hanging="360"/>
      </w:pPr>
      <w:rPr>
        <w:rFonts w:ascii="Courier New" w:hAnsi="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5238058D"/>
    <w:multiLevelType w:val="hybridMultilevel"/>
    <w:tmpl w:val="67DE22C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68C"/>
    <w:rsid w:val="00122F0F"/>
    <w:rsid w:val="0014641B"/>
    <w:rsid w:val="009E70F3"/>
    <w:rsid w:val="00B038DD"/>
    <w:rsid w:val="00B676AB"/>
    <w:rsid w:val="00D02C67"/>
    <w:rsid w:val="00D6468C"/>
    <w:rsid w:val="00DC2A2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75630F-401C-432E-ABCF-027EB6CF4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72" w:type="dxa"/>
        <w:left w:w="115" w:type="dxa"/>
        <w:bottom w:w="72" w:type="dxa"/>
        <w:right w:w="115" w:type="dxa"/>
      </w:tblCellMar>
    </w:tblPr>
  </w:style>
  <w:style w:type="paragraph" w:styleId="Encabezado">
    <w:name w:val="header"/>
    <w:basedOn w:val="Normal"/>
    <w:link w:val="EncabezadoCar"/>
    <w:uiPriority w:val="99"/>
    <w:unhideWhenUsed/>
    <w:rsid w:val="00D02C67"/>
    <w:pPr>
      <w:tabs>
        <w:tab w:val="center" w:pos="4252"/>
        <w:tab w:val="right" w:pos="8504"/>
      </w:tabs>
    </w:pPr>
  </w:style>
  <w:style w:type="character" w:customStyle="1" w:styleId="EncabezadoCar">
    <w:name w:val="Encabezado Car"/>
    <w:basedOn w:val="Fuentedeprrafopredeter"/>
    <w:link w:val="Encabezado"/>
    <w:uiPriority w:val="99"/>
    <w:rsid w:val="00D02C67"/>
  </w:style>
  <w:style w:type="paragraph" w:styleId="Piedepgina">
    <w:name w:val="footer"/>
    <w:basedOn w:val="Normal"/>
    <w:link w:val="PiedepginaCar"/>
    <w:uiPriority w:val="99"/>
    <w:unhideWhenUsed/>
    <w:rsid w:val="00D02C67"/>
    <w:pPr>
      <w:tabs>
        <w:tab w:val="center" w:pos="4252"/>
        <w:tab w:val="right" w:pos="8504"/>
      </w:tabs>
    </w:pPr>
  </w:style>
  <w:style w:type="character" w:customStyle="1" w:styleId="PiedepginaCar">
    <w:name w:val="Pie de página Car"/>
    <w:basedOn w:val="Fuentedeprrafopredeter"/>
    <w:link w:val="Piedepgina"/>
    <w:uiPriority w:val="99"/>
    <w:rsid w:val="00D02C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644</Words>
  <Characters>3542</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Bataller</dc:creator>
  <cp:lastModifiedBy>María del Carmen Bataller</cp:lastModifiedBy>
  <cp:revision>4</cp:revision>
  <dcterms:created xsi:type="dcterms:W3CDTF">2026-03-07T22:04:00Z</dcterms:created>
  <dcterms:modified xsi:type="dcterms:W3CDTF">2026-03-07T22:05:00Z</dcterms:modified>
</cp:coreProperties>
</file>